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7251620" w:displacedByCustomXml="next"/>
    <w:sdt>
      <w:sdtPr>
        <w:rPr>
          <w:rFonts w:ascii="Arial Nova Light" w:eastAsia="Times New Roman" w:hAnsi="Arial Nova Light" w:cs="Arial"/>
          <w:iCs/>
          <w:color w:val="auto"/>
          <w:spacing w:val="0"/>
          <w:kern w:val="0"/>
          <w:sz w:val="22"/>
          <w:szCs w:val="24"/>
          <w:lang w:val="en-US"/>
        </w:rPr>
        <w:id w:val="-176652947"/>
        <w:docPartObj>
          <w:docPartGallery w:val="Cover Pages"/>
          <w:docPartUnique/>
        </w:docPartObj>
      </w:sdtPr>
      <w:sdtEndPr>
        <w:rPr>
          <w:rFonts w:ascii="Arial Nova" w:eastAsiaTheme="minorHAnsi" w:hAnsi="Arial Nova" w:cstheme="minorBidi"/>
          <w:iCs w:val="0"/>
          <w:sz w:val="24"/>
          <w:lang w:val="en-AU"/>
        </w:rPr>
      </w:sdtEndPr>
      <w:sdtContent>
        <w:bookmarkEnd w:id="0" w:displacedByCustomXml="prev"/>
        <w:p w14:paraId="2FB79F55" w14:textId="0593B78C" w:rsidR="009F5CD8" w:rsidRPr="00463C8F" w:rsidRDefault="00F638B6" w:rsidP="00F82052">
          <w:pPr>
            <w:pStyle w:val="Title"/>
          </w:pPr>
          <w:r>
            <w:t>Future-proofing Safety</w:t>
          </w:r>
        </w:p>
        <w:p w14:paraId="326840B1" w14:textId="14190A4E" w:rsidR="009F5CD8" w:rsidRDefault="00472F4E" w:rsidP="009F5CD8">
          <w:pPr>
            <w:pStyle w:val="Subtitle"/>
          </w:pPr>
          <w:r w:rsidRPr="00472F4E">
            <w:t xml:space="preserve">Organisational </w:t>
          </w:r>
          <w:r w:rsidR="004F7542">
            <w:t>c</w:t>
          </w:r>
          <w:r w:rsidRPr="00472F4E">
            <w:t xml:space="preserve">ase </w:t>
          </w:r>
          <w:r w:rsidR="004F7542">
            <w:t>s</w:t>
          </w:r>
          <w:r w:rsidRPr="00472F4E">
            <w:t>tudies</w:t>
          </w:r>
        </w:p>
        <w:p w14:paraId="46BB2C06" w14:textId="28763D48" w:rsidR="00661584" w:rsidRPr="004F7542" w:rsidRDefault="004F7542" w:rsidP="004F7542">
          <w:pPr>
            <w:pStyle w:val="Sub-subtitle"/>
          </w:pPr>
          <w:r>
            <w:t>COVID-19 and family violence in Victoria 2020–2021</w:t>
          </w:r>
        </w:p>
        <w:p w14:paraId="5200F83D" w14:textId="77777777" w:rsidR="00EE1A74" w:rsidRDefault="004F1226" w:rsidP="006D1FE9">
          <w:pPr>
            <w:spacing w:line="259" w:lineRule="auto"/>
            <w:jc w:val="center"/>
          </w:pPr>
          <w:r w:rsidRPr="00463C8F">
            <w:rPr>
              <w:noProof/>
            </w:rPr>
            <w:drawing>
              <wp:inline distT="0" distB="0" distL="0" distR="0" wp14:anchorId="5EB19194" wp14:editId="3E1E157F">
                <wp:extent cx="1375128" cy="900000"/>
                <wp:effectExtent l="0" t="0" r="0" b="0"/>
                <wp:docPr id="3" name="Picture 3" descr="Drummond Street Services logo: There is a black stylised outline of a rainbow turned on its side so it looks like a D. Next to it are the words &quot;Drummond Street Servi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ummond Street Services logo: There is a black stylised outline of a rainbow turned on its side so it looks like a D. Next to it are the words &quot;Drummond Street Services&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128" cy="900000"/>
                        </a:xfrm>
                        <a:prstGeom prst="rect">
                          <a:avLst/>
                        </a:prstGeom>
                        <a:noFill/>
                        <a:ln>
                          <a:noFill/>
                        </a:ln>
                      </pic:spPr>
                    </pic:pic>
                  </a:graphicData>
                </a:graphic>
              </wp:inline>
            </w:drawing>
          </w:r>
          <w:r w:rsidRPr="00463C8F">
            <w:rPr>
              <w:noProof/>
            </w:rPr>
            <w:drawing>
              <wp:inline distT="0" distB="0" distL="0" distR="0" wp14:anchorId="70496D26" wp14:editId="12519DFF">
                <wp:extent cx="1456451" cy="900000"/>
                <wp:effectExtent l="0" t="0" r="0" b="0"/>
                <wp:docPr id="6" name="Picture 6" descr="Centre for Family Research &amp; Evaluation logo: There is a black stylised outline of a rainbow turned on its side so it looks like a C. Next to it are the words &quot;Centre For Family Research &amp; Evalu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entre for Family Research &amp; Evaluation logo: There is a black stylised outline of a rainbow turned on its side so it looks like a C. Next to it are the words &quot;Centre For Family Research &amp; Evaluation&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6451" cy="900000"/>
                        </a:xfrm>
                        <a:prstGeom prst="rect">
                          <a:avLst/>
                        </a:prstGeom>
                        <a:noFill/>
                        <a:ln>
                          <a:noFill/>
                        </a:ln>
                      </pic:spPr>
                    </pic:pic>
                  </a:graphicData>
                </a:graphic>
              </wp:inline>
            </w:drawing>
          </w:r>
          <w:r w:rsidR="00077D0C">
            <w:t xml:space="preserve">  </w:t>
          </w:r>
          <w:r w:rsidR="00363093">
            <w:rPr>
              <w:noProof/>
            </w:rPr>
            <w:drawing>
              <wp:inline distT="0" distB="0" distL="0" distR="0" wp14:anchorId="3F4B7F45" wp14:editId="30206863">
                <wp:extent cx="3144763" cy="450000"/>
                <wp:effectExtent l="0" t="0" r="0" b="7620"/>
                <wp:docPr id="1" name="Picture 1" descr="Centre for Innovative Justice logo: A filled red circle with stepped cut-outs on the left half of the circle. Next to the circle are the words &quot;RMIT University&quot;. There is a vertical line to the right of these words. Next to the line are the words &quot;Centre for Innovative Just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ntre for Innovative Justice logo: A filled red circle with stepped cut-outs on the left half of the circle. Next to the circle are the words &quot;RMIT University&quot;. There is a vertical line to the right of these words. Next to the line are the words &quot;Centre for Innovative Justic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4763" cy="450000"/>
                        </a:xfrm>
                        <a:prstGeom prst="rect">
                          <a:avLst/>
                        </a:prstGeom>
                        <a:noFill/>
                        <a:ln>
                          <a:noFill/>
                        </a:ln>
                      </pic:spPr>
                    </pic:pic>
                  </a:graphicData>
                </a:graphic>
              </wp:inline>
            </w:drawing>
          </w:r>
          <w:r w:rsidR="00077D0C">
            <w:t xml:space="preserve">  </w:t>
          </w:r>
        </w:p>
        <w:p w14:paraId="1F41D43C" w14:textId="77777777" w:rsidR="00EE1A74" w:rsidRDefault="00077D0C" w:rsidP="006D1FE9">
          <w:pPr>
            <w:spacing w:line="259" w:lineRule="auto"/>
            <w:jc w:val="center"/>
          </w:pPr>
          <w:r>
            <w:rPr>
              <w:noProof/>
            </w:rPr>
            <w:drawing>
              <wp:inline distT="0" distB="0" distL="0" distR="0" wp14:anchorId="104D9107" wp14:editId="48124EB9">
                <wp:extent cx="2362558" cy="720000"/>
                <wp:effectExtent l="0" t="0" r="0" b="4445"/>
                <wp:docPr id="2" name="Picture 2" descr="Australian Institute of Family Studies logo: On the left are the Commonwealth Coat of Arms of Australia, which feature a shield held up by a kangaroo and an emu under a seven-point star and above a wreath. Next to the Coat of Arms are the words &quot;Australian Government&quot;. A horizontal line separates these words from the words &quot;Australian Institute of Family Studies&quot;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Institute of Family Studies logo: On the left are the Commonwealth Coat of Arms of Australia, which feature a shield held up by a kangaroo and an emu under a seven-point star and above a wreath. Next to the Coat of Arms are the words &quot;Australian Government&quot;. A horizontal line separates these words from the words &quot;Australian Institute of Family Studies&quot; undernea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2558" cy="720000"/>
                        </a:xfrm>
                        <a:prstGeom prst="rect">
                          <a:avLst/>
                        </a:prstGeom>
                        <a:noFill/>
                        <a:ln>
                          <a:noFill/>
                        </a:ln>
                      </pic:spPr>
                    </pic:pic>
                  </a:graphicData>
                </a:graphic>
              </wp:inline>
            </w:drawing>
          </w:r>
          <w:r>
            <w:t xml:space="preserve">  </w:t>
          </w:r>
        </w:p>
        <w:p w14:paraId="62DB95C7" w14:textId="77777777" w:rsidR="00EE1A74" w:rsidRDefault="00EE1A74" w:rsidP="006D1FE9">
          <w:pPr>
            <w:spacing w:line="259" w:lineRule="auto"/>
            <w:jc w:val="center"/>
          </w:pPr>
          <w:r>
            <w:rPr>
              <w:noProof/>
            </w:rPr>
            <w:drawing>
              <wp:inline distT="0" distB="0" distL="0" distR="0" wp14:anchorId="3A1E6BB7" wp14:editId="5466139B">
                <wp:extent cx="963938" cy="810000"/>
                <wp:effectExtent l="0" t="0" r="7620" b="9525"/>
                <wp:docPr id="4" name="Picture 4" descr="GenWest logo: the word &quot;GenWest&quot; is stylised in a way that it resembles a flag being w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nWest logo: the word &quot;GenWest&quot; is stylised in a way that it resembles a flag being wav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3938" cy="810000"/>
                        </a:xfrm>
                        <a:prstGeom prst="rect">
                          <a:avLst/>
                        </a:prstGeom>
                        <a:noFill/>
                        <a:ln>
                          <a:noFill/>
                        </a:ln>
                      </pic:spPr>
                    </pic:pic>
                  </a:graphicData>
                </a:graphic>
              </wp:inline>
            </w:drawing>
          </w:r>
          <w:r>
            <w:t xml:space="preserve">  </w:t>
          </w:r>
        </w:p>
        <w:p w14:paraId="10D33B4D" w14:textId="66B5ADDB" w:rsidR="003D346D" w:rsidRDefault="00EE1A74" w:rsidP="006D1FE9">
          <w:pPr>
            <w:spacing w:line="259" w:lineRule="auto"/>
            <w:jc w:val="center"/>
          </w:pPr>
          <w:r>
            <w:rPr>
              <w:noProof/>
            </w:rPr>
            <w:drawing>
              <wp:inline distT="0" distB="0" distL="0" distR="0" wp14:anchorId="39BD50E2" wp14:editId="017D1E86">
                <wp:extent cx="2667272" cy="540000"/>
                <wp:effectExtent l="0" t="0" r="0" b="0"/>
                <wp:docPr id="5" name="Picture 5" descr="Good Shepherd Australia New Zealand logo: an outline of a heart made up of two lines, one in red and one in pink. Next to the heart are the words &quot;Good Shepherd&quot; in large bold text. Under these words in smaller non-bold text are the words &quot;Australia New Zeal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od Shepherd Australia New Zealand logo: an outline of a heart made up of two lines, one in red and one in pink. Next to the heart are the words &quot;Good Shepherd&quot; in large bold text. Under these words in smaller non-bold text are the words &quot;Australia New Zealand&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272" cy="540000"/>
                        </a:xfrm>
                        <a:prstGeom prst="rect">
                          <a:avLst/>
                        </a:prstGeom>
                        <a:noFill/>
                        <a:ln>
                          <a:noFill/>
                        </a:ln>
                      </pic:spPr>
                    </pic:pic>
                  </a:graphicData>
                </a:graphic>
              </wp:inline>
            </w:drawing>
          </w:r>
        </w:p>
        <w:p w14:paraId="6D274776" w14:textId="77777777" w:rsidR="007C1779" w:rsidRDefault="00E80EED" w:rsidP="00E80EED">
          <w:pPr>
            <w:spacing w:line="259" w:lineRule="auto"/>
          </w:pPr>
          <w:r w:rsidRPr="007C1779">
            <w:rPr>
              <w:b/>
              <w:bCs/>
            </w:rPr>
            <w:t>Please note:</w:t>
          </w:r>
          <w:r>
            <w:t xml:space="preserve"> </w:t>
          </w:r>
          <w:r w:rsidRPr="00E80EED">
            <w:t>This document contains text that has been formatted as headings, as well as in bold and italics.</w:t>
          </w:r>
        </w:p>
        <w:p w14:paraId="609E4B5D" w14:textId="0E957C21" w:rsidR="00E80EED" w:rsidRPr="00463C8F" w:rsidRDefault="00E80EED" w:rsidP="00E80EED">
          <w:pPr>
            <w:spacing w:line="259" w:lineRule="auto"/>
          </w:pPr>
          <w:r w:rsidRPr="00E80EED">
            <w:t xml:space="preserve">If you are using a screen reader, we recommend </w:t>
          </w:r>
          <w:r w:rsidR="00E81211">
            <w:t>checking</w:t>
          </w:r>
          <w:r w:rsidR="00877218">
            <w:t xml:space="preserve"> your settings </w:t>
          </w:r>
          <w:r w:rsidR="00E81211">
            <w:t xml:space="preserve">to make sure </w:t>
          </w:r>
          <w:r w:rsidR="00877218">
            <w:t>that it</w:t>
          </w:r>
          <w:r w:rsidRPr="00E80EED">
            <w:t xml:space="preserve"> </w:t>
          </w:r>
          <w:r w:rsidR="00877218">
            <w:t>reads</w:t>
          </w:r>
          <w:r w:rsidRPr="00E80EED">
            <w:t xml:space="preserve"> out or emphasise</w:t>
          </w:r>
          <w:r w:rsidR="00877218">
            <w:t>s</w:t>
          </w:r>
          <w:r w:rsidRPr="00E80EED">
            <w:t xml:space="preserve"> formatted text.</w:t>
          </w:r>
          <w:r w:rsidR="007C1779">
            <w:t xml:space="preserve"> </w:t>
          </w:r>
          <w:r w:rsidR="0014101B">
            <w:t xml:space="preserve">(If you are using Windows, instructions on how to do this are on </w:t>
          </w:r>
          <w:hyperlink r:id="rId17" w:history="1">
            <w:r w:rsidR="0014101B" w:rsidRPr="0014101B">
              <w:rPr>
                <w:rStyle w:val="Hyperlink"/>
              </w:rPr>
              <w:t>the Narrator support website</w:t>
            </w:r>
          </w:hyperlink>
          <w:r w:rsidR="0014101B">
            <w:t>.)</w:t>
          </w:r>
        </w:p>
        <w:p w14:paraId="5F46D5DE" w14:textId="2DF7A720" w:rsidR="00F64963" w:rsidRPr="00463C8F" w:rsidRDefault="00F64963" w:rsidP="003D346D">
          <w:r w:rsidRPr="00463C8F">
            <w:br w:type="page"/>
          </w:r>
        </w:p>
        <w:p w14:paraId="692BBCB6" w14:textId="04C78662" w:rsidR="00E8663B" w:rsidRDefault="00E8663B" w:rsidP="00E8663B">
          <w:pPr>
            <w:pStyle w:val="TOCHeading"/>
          </w:pPr>
          <w:bookmarkStart w:id="1" w:name="_Toc84424179"/>
          <w:r>
            <w:lastRenderedPageBreak/>
            <w:t xml:space="preserve">Table of </w:t>
          </w:r>
          <w:r w:rsidR="00EE2D23">
            <w:t>c</w:t>
          </w:r>
          <w:r>
            <w:t>ontents</w:t>
          </w:r>
        </w:p>
        <w:p w14:paraId="5CA5B82B" w14:textId="1D1BE72A" w:rsidR="00AB723A" w:rsidRDefault="00E8663B">
          <w:pPr>
            <w:pStyle w:val="TOC1"/>
            <w:rPr>
              <w:rFonts w:asciiTheme="minorHAnsi" w:eastAsiaTheme="minorEastAsia" w:hAnsiTheme="minorHAnsi"/>
              <w:noProof/>
              <w:sz w:val="22"/>
              <w:szCs w:val="22"/>
              <w:lang w:eastAsia="zh-CN"/>
            </w:rPr>
          </w:pPr>
          <w:r>
            <w:fldChar w:fldCharType="begin"/>
          </w:r>
          <w:r>
            <w:instrText xml:space="preserve"> TOC \o "2-2" \h \z \t "Heading 1,1" </w:instrText>
          </w:r>
          <w:r>
            <w:fldChar w:fldCharType="separate"/>
          </w:r>
          <w:hyperlink w:anchor="_Toc98760921" w:history="1">
            <w:r w:rsidR="00AB723A" w:rsidRPr="00753EEF">
              <w:rPr>
                <w:rStyle w:val="Hyperlink"/>
                <w:noProof/>
              </w:rPr>
              <w:t>Acknowledgements</w:t>
            </w:r>
            <w:r w:rsidR="00AB723A">
              <w:rPr>
                <w:noProof/>
                <w:webHidden/>
              </w:rPr>
              <w:tab/>
            </w:r>
            <w:r w:rsidR="00AB723A">
              <w:rPr>
                <w:noProof/>
                <w:webHidden/>
              </w:rPr>
              <w:fldChar w:fldCharType="begin"/>
            </w:r>
            <w:r w:rsidR="00AB723A">
              <w:rPr>
                <w:noProof/>
                <w:webHidden/>
              </w:rPr>
              <w:instrText xml:space="preserve"> PAGEREF _Toc98760921 \h </w:instrText>
            </w:r>
            <w:r w:rsidR="00AB723A">
              <w:rPr>
                <w:noProof/>
                <w:webHidden/>
              </w:rPr>
            </w:r>
            <w:r w:rsidR="00AB723A">
              <w:rPr>
                <w:noProof/>
                <w:webHidden/>
              </w:rPr>
              <w:fldChar w:fldCharType="separate"/>
            </w:r>
            <w:r w:rsidR="00AB723A">
              <w:rPr>
                <w:noProof/>
                <w:webHidden/>
              </w:rPr>
              <w:t>2</w:t>
            </w:r>
            <w:r w:rsidR="00AB723A">
              <w:rPr>
                <w:noProof/>
                <w:webHidden/>
              </w:rPr>
              <w:fldChar w:fldCharType="end"/>
            </w:r>
          </w:hyperlink>
        </w:p>
        <w:p w14:paraId="5C97240F" w14:textId="28525102" w:rsidR="00AB723A" w:rsidRDefault="00225158">
          <w:pPr>
            <w:pStyle w:val="TOC1"/>
            <w:rPr>
              <w:rFonts w:asciiTheme="minorHAnsi" w:eastAsiaTheme="minorEastAsia" w:hAnsiTheme="minorHAnsi"/>
              <w:noProof/>
              <w:sz w:val="22"/>
              <w:szCs w:val="22"/>
              <w:lang w:eastAsia="zh-CN"/>
            </w:rPr>
          </w:pPr>
          <w:hyperlink w:anchor="_Toc98760922" w:history="1">
            <w:r w:rsidR="00AB723A" w:rsidRPr="00753EEF">
              <w:rPr>
                <w:rStyle w:val="Hyperlink"/>
                <w:noProof/>
              </w:rPr>
              <w:t>About Future-proofing Safety</w:t>
            </w:r>
            <w:r w:rsidR="00AB723A">
              <w:rPr>
                <w:noProof/>
                <w:webHidden/>
              </w:rPr>
              <w:tab/>
            </w:r>
            <w:r w:rsidR="00AB723A">
              <w:rPr>
                <w:noProof/>
                <w:webHidden/>
              </w:rPr>
              <w:fldChar w:fldCharType="begin"/>
            </w:r>
            <w:r w:rsidR="00AB723A">
              <w:rPr>
                <w:noProof/>
                <w:webHidden/>
              </w:rPr>
              <w:instrText xml:space="preserve"> PAGEREF _Toc98760922 \h </w:instrText>
            </w:r>
            <w:r w:rsidR="00AB723A">
              <w:rPr>
                <w:noProof/>
                <w:webHidden/>
              </w:rPr>
            </w:r>
            <w:r w:rsidR="00AB723A">
              <w:rPr>
                <w:noProof/>
                <w:webHidden/>
              </w:rPr>
              <w:fldChar w:fldCharType="separate"/>
            </w:r>
            <w:r w:rsidR="00AB723A">
              <w:rPr>
                <w:noProof/>
                <w:webHidden/>
              </w:rPr>
              <w:t>2</w:t>
            </w:r>
            <w:r w:rsidR="00AB723A">
              <w:rPr>
                <w:noProof/>
                <w:webHidden/>
              </w:rPr>
              <w:fldChar w:fldCharType="end"/>
            </w:r>
          </w:hyperlink>
        </w:p>
        <w:p w14:paraId="2D4F3682" w14:textId="01E25F4F" w:rsidR="00AB723A" w:rsidRDefault="00225158">
          <w:pPr>
            <w:pStyle w:val="TOC1"/>
            <w:rPr>
              <w:rFonts w:asciiTheme="minorHAnsi" w:eastAsiaTheme="minorEastAsia" w:hAnsiTheme="minorHAnsi"/>
              <w:noProof/>
              <w:sz w:val="22"/>
              <w:szCs w:val="22"/>
              <w:lang w:eastAsia="zh-CN"/>
            </w:rPr>
          </w:pPr>
          <w:hyperlink w:anchor="_Toc98760923" w:history="1">
            <w:r w:rsidR="00AB723A" w:rsidRPr="00753EEF">
              <w:rPr>
                <w:rStyle w:val="Hyperlink"/>
                <w:noProof/>
              </w:rPr>
              <w:t>Organisational case studies</w:t>
            </w:r>
            <w:r w:rsidR="00AB723A">
              <w:rPr>
                <w:noProof/>
                <w:webHidden/>
              </w:rPr>
              <w:tab/>
            </w:r>
            <w:r w:rsidR="00AB723A">
              <w:rPr>
                <w:noProof/>
                <w:webHidden/>
              </w:rPr>
              <w:fldChar w:fldCharType="begin"/>
            </w:r>
            <w:r w:rsidR="00AB723A">
              <w:rPr>
                <w:noProof/>
                <w:webHidden/>
              </w:rPr>
              <w:instrText xml:space="preserve"> PAGEREF _Toc98760923 \h </w:instrText>
            </w:r>
            <w:r w:rsidR="00AB723A">
              <w:rPr>
                <w:noProof/>
                <w:webHidden/>
              </w:rPr>
            </w:r>
            <w:r w:rsidR="00AB723A">
              <w:rPr>
                <w:noProof/>
                <w:webHidden/>
              </w:rPr>
              <w:fldChar w:fldCharType="separate"/>
            </w:r>
            <w:r w:rsidR="00AB723A">
              <w:rPr>
                <w:noProof/>
                <w:webHidden/>
              </w:rPr>
              <w:t>3</w:t>
            </w:r>
            <w:r w:rsidR="00AB723A">
              <w:rPr>
                <w:noProof/>
                <w:webHidden/>
              </w:rPr>
              <w:fldChar w:fldCharType="end"/>
            </w:r>
          </w:hyperlink>
        </w:p>
        <w:p w14:paraId="52EAD1A6" w14:textId="477306B9"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24" w:history="1">
            <w:r w:rsidR="00AB723A" w:rsidRPr="00753EEF">
              <w:rPr>
                <w:rStyle w:val="Hyperlink"/>
                <w:noProof/>
              </w:rPr>
              <w:t>About data capture and analysis</w:t>
            </w:r>
            <w:r w:rsidR="00AB723A">
              <w:rPr>
                <w:noProof/>
                <w:webHidden/>
              </w:rPr>
              <w:tab/>
            </w:r>
            <w:r w:rsidR="00AB723A">
              <w:rPr>
                <w:noProof/>
                <w:webHidden/>
              </w:rPr>
              <w:fldChar w:fldCharType="begin"/>
            </w:r>
            <w:r w:rsidR="00AB723A">
              <w:rPr>
                <w:noProof/>
                <w:webHidden/>
              </w:rPr>
              <w:instrText xml:space="preserve"> PAGEREF _Toc98760924 \h </w:instrText>
            </w:r>
            <w:r w:rsidR="00AB723A">
              <w:rPr>
                <w:noProof/>
                <w:webHidden/>
              </w:rPr>
            </w:r>
            <w:r w:rsidR="00AB723A">
              <w:rPr>
                <w:noProof/>
                <w:webHidden/>
              </w:rPr>
              <w:fldChar w:fldCharType="separate"/>
            </w:r>
            <w:r w:rsidR="00AB723A">
              <w:rPr>
                <w:noProof/>
                <w:webHidden/>
              </w:rPr>
              <w:t>3</w:t>
            </w:r>
            <w:r w:rsidR="00AB723A">
              <w:rPr>
                <w:noProof/>
                <w:webHidden/>
              </w:rPr>
              <w:fldChar w:fldCharType="end"/>
            </w:r>
          </w:hyperlink>
        </w:p>
        <w:p w14:paraId="15799E88" w14:textId="555660CA" w:rsidR="00AB723A" w:rsidRDefault="00225158">
          <w:pPr>
            <w:pStyle w:val="TOC1"/>
            <w:rPr>
              <w:rFonts w:asciiTheme="minorHAnsi" w:eastAsiaTheme="minorEastAsia" w:hAnsiTheme="minorHAnsi"/>
              <w:noProof/>
              <w:sz w:val="22"/>
              <w:szCs w:val="22"/>
              <w:lang w:eastAsia="zh-CN"/>
            </w:rPr>
          </w:pPr>
          <w:hyperlink w:anchor="_Toc98760925" w:history="1">
            <w:r w:rsidR="00AB723A" w:rsidRPr="00753EEF">
              <w:rPr>
                <w:rStyle w:val="Hyperlink"/>
                <w:noProof/>
              </w:rPr>
              <w:t>Summary of findings across the three organisations</w:t>
            </w:r>
            <w:r w:rsidR="00AB723A">
              <w:rPr>
                <w:noProof/>
                <w:webHidden/>
              </w:rPr>
              <w:tab/>
            </w:r>
            <w:r w:rsidR="00AB723A">
              <w:rPr>
                <w:noProof/>
                <w:webHidden/>
              </w:rPr>
              <w:fldChar w:fldCharType="begin"/>
            </w:r>
            <w:r w:rsidR="00AB723A">
              <w:rPr>
                <w:noProof/>
                <w:webHidden/>
              </w:rPr>
              <w:instrText xml:space="preserve"> PAGEREF _Toc98760925 \h </w:instrText>
            </w:r>
            <w:r w:rsidR="00AB723A">
              <w:rPr>
                <w:noProof/>
                <w:webHidden/>
              </w:rPr>
            </w:r>
            <w:r w:rsidR="00AB723A">
              <w:rPr>
                <w:noProof/>
                <w:webHidden/>
              </w:rPr>
              <w:fldChar w:fldCharType="separate"/>
            </w:r>
            <w:r w:rsidR="00AB723A">
              <w:rPr>
                <w:noProof/>
                <w:webHidden/>
              </w:rPr>
              <w:t>7</w:t>
            </w:r>
            <w:r w:rsidR="00AB723A">
              <w:rPr>
                <w:noProof/>
                <w:webHidden/>
              </w:rPr>
              <w:fldChar w:fldCharType="end"/>
            </w:r>
          </w:hyperlink>
        </w:p>
        <w:p w14:paraId="75C376FC" w14:textId="25AEF91D"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26" w:history="1">
            <w:r w:rsidR="00AB723A" w:rsidRPr="00753EEF">
              <w:rPr>
                <w:rStyle w:val="Hyperlink"/>
                <w:noProof/>
              </w:rPr>
              <w:t>How did people access services during COVID-19?</w:t>
            </w:r>
            <w:r w:rsidR="00AB723A">
              <w:rPr>
                <w:noProof/>
                <w:webHidden/>
              </w:rPr>
              <w:tab/>
            </w:r>
            <w:r w:rsidR="00AB723A">
              <w:rPr>
                <w:noProof/>
                <w:webHidden/>
              </w:rPr>
              <w:fldChar w:fldCharType="begin"/>
            </w:r>
            <w:r w:rsidR="00AB723A">
              <w:rPr>
                <w:noProof/>
                <w:webHidden/>
              </w:rPr>
              <w:instrText xml:space="preserve"> PAGEREF _Toc98760926 \h </w:instrText>
            </w:r>
            <w:r w:rsidR="00AB723A">
              <w:rPr>
                <w:noProof/>
                <w:webHidden/>
              </w:rPr>
            </w:r>
            <w:r w:rsidR="00AB723A">
              <w:rPr>
                <w:noProof/>
                <w:webHidden/>
              </w:rPr>
              <w:fldChar w:fldCharType="separate"/>
            </w:r>
            <w:r w:rsidR="00AB723A">
              <w:rPr>
                <w:noProof/>
                <w:webHidden/>
              </w:rPr>
              <w:t>7</w:t>
            </w:r>
            <w:r w:rsidR="00AB723A">
              <w:rPr>
                <w:noProof/>
                <w:webHidden/>
              </w:rPr>
              <w:fldChar w:fldCharType="end"/>
            </w:r>
          </w:hyperlink>
        </w:p>
        <w:p w14:paraId="66B8887F" w14:textId="55D95DD2"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27" w:history="1">
            <w:r w:rsidR="00AB723A" w:rsidRPr="00753EEF">
              <w:rPr>
                <w:rStyle w:val="Hyperlink"/>
                <w:noProof/>
              </w:rPr>
              <w:t>What were client needs during COVID-19?</w:t>
            </w:r>
            <w:r w:rsidR="00AB723A">
              <w:rPr>
                <w:noProof/>
                <w:webHidden/>
              </w:rPr>
              <w:tab/>
            </w:r>
            <w:r w:rsidR="00AB723A">
              <w:rPr>
                <w:noProof/>
                <w:webHidden/>
              </w:rPr>
              <w:fldChar w:fldCharType="begin"/>
            </w:r>
            <w:r w:rsidR="00AB723A">
              <w:rPr>
                <w:noProof/>
                <w:webHidden/>
              </w:rPr>
              <w:instrText xml:space="preserve"> PAGEREF _Toc98760927 \h </w:instrText>
            </w:r>
            <w:r w:rsidR="00AB723A">
              <w:rPr>
                <w:noProof/>
                <w:webHidden/>
              </w:rPr>
            </w:r>
            <w:r w:rsidR="00AB723A">
              <w:rPr>
                <w:noProof/>
                <w:webHidden/>
              </w:rPr>
              <w:fldChar w:fldCharType="separate"/>
            </w:r>
            <w:r w:rsidR="00AB723A">
              <w:rPr>
                <w:noProof/>
                <w:webHidden/>
              </w:rPr>
              <w:t>8</w:t>
            </w:r>
            <w:r w:rsidR="00AB723A">
              <w:rPr>
                <w:noProof/>
                <w:webHidden/>
              </w:rPr>
              <w:fldChar w:fldCharType="end"/>
            </w:r>
          </w:hyperlink>
        </w:p>
        <w:p w14:paraId="50596027" w14:textId="733B675F" w:rsidR="00AB723A" w:rsidRDefault="00225158">
          <w:pPr>
            <w:pStyle w:val="TOC1"/>
            <w:rPr>
              <w:rFonts w:asciiTheme="minorHAnsi" w:eastAsiaTheme="minorEastAsia" w:hAnsiTheme="minorHAnsi"/>
              <w:noProof/>
              <w:sz w:val="22"/>
              <w:szCs w:val="22"/>
              <w:lang w:eastAsia="zh-CN"/>
            </w:rPr>
          </w:pPr>
          <w:hyperlink w:anchor="_Toc98760928" w:history="1">
            <w:r w:rsidR="00AB723A" w:rsidRPr="00753EEF">
              <w:rPr>
                <w:rStyle w:val="Hyperlink"/>
                <w:noProof/>
              </w:rPr>
              <w:t>Case study: Drummond Street Services</w:t>
            </w:r>
            <w:r w:rsidR="00AB723A">
              <w:rPr>
                <w:noProof/>
                <w:webHidden/>
              </w:rPr>
              <w:tab/>
            </w:r>
            <w:r w:rsidR="00AB723A">
              <w:rPr>
                <w:noProof/>
                <w:webHidden/>
              </w:rPr>
              <w:fldChar w:fldCharType="begin"/>
            </w:r>
            <w:r w:rsidR="00AB723A">
              <w:rPr>
                <w:noProof/>
                <w:webHidden/>
              </w:rPr>
              <w:instrText xml:space="preserve"> PAGEREF _Toc98760928 \h </w:instrText>
            </w:r>
            <w:r w:rsidR="00AB723A">
              <w:rPr>
                <w:noProof/>
                <w:webHidden/>
              </w:rPr>
            </w:r>
            <w:r w:rsidR="00AB723A">
              <w:rPr>
                <w:noProof/>
                <w:webHidden/>
              </w:rPr>
              <w:fldChar w:fldCharType="separate"/>
            </w:r>
            <w:r w:rsidR="00AB723A">
              <w:rPr>
                <w:noProof/>
                <w:webHidden/>
              </w:rPr>
              <w:t>9</w:t>
            </w:r>
            <w:r w:rsidR="00AB723A">
              <w:rPr>
                <w:noProof/>
                <w:webHidden/>
              </w:rPr>
              <w:fldChar w:fldCharType="end"/>
            </w:r>
          </w:hyperlink>
        </w:p>
        <w:p w14:paraId="0FCAA737" w14:textId="3ED089C8"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29" w:history="1">
            <w:r w:rsidR="00AB723A" w:rsidRPr="00753EEF">
              <w:rPr>
                <w:rStyle w:val="Hyperlink"/>
                <w:noProof/>
              </w:rPr>
              <w:t>About service delivery</w:t>
            </w:r>
            <w:r w:rsidR="00AB723A">
              <w:rPr>
                <w:noProof/>
                <w:webHidden/>
              </w:rPr>
              <w:tab/>
            </w:r>
            <w:r w:rsidR="00AB723A">
              <w:rPr>
                <w:noProof/>
                <w:webHidden/>
              </w:rPr>
              <w:fldChar w:fldCharType="begin"/>
            </w:r>
            <w:r w:rsidR="00AB723A">
              <w:rPr>
                <w:noProof/>
                <w:webHidden/>
              </w:rPr>
              <w:instrText xml:space="preserve"> PAGEREF _Toc98760929 \h </w:instrText>
            </w:r>
            <w:r w:rsidR="00AB723A">
              <w:rPr>
                <w:noProof/>
                <w:webHidden/>
              </w:rPr>
            </w:r>
            <w:r w:rsidR="00AB723A">
              <w:rPr>
                <w:noProof/>
                <w:webHidden/>
              </w:rPr>
              <w:fldChar w:fldCharType="separate"/>
            </w:r>
            <w:r w:rsidR="00AB723A">
              <w:rPr>
                <w:noProof/>
                <w:webHidden/>
              </w:rPr>
              <w:t>9</w:t>
            </w:r>
            <w:r w:rsidR="00AB723A">
              <w:rPr>
                <w:noProof/>
                <w:webHidden/>
              </w:rPr>
              <w:fldChar w:fldCharType="end"/>
            </w:r>
          </w:hyperlink>
        </w:p>
        <w:p w14:paraId="6C7DA3CC" w14:textId="7082F8BA"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30" w:history="1">
            <w:r w:rsidR="00AB723A" w:rsidRPr="00753EEF">
              <w:rPr>
                <w:rStyle w:val="Hyperlink"/>
                <w:noProof/>
              </w:rPr>
              <w:t>What Drummond Street saw during COVID-19</w:t>
            </w:r>
            <w:r w:rsidR="00AB723A">
              <w:rPr>
                <w:noProof/>
                <w:webHidden/>
              </w:rPr>
              <w:tab/>
            </w:r>
            <w:r w:rsidR="00AB723A">
              <w:rPr>
                <w:noProof/>
                <w:webHidden/>
              </w:rPr>
              <w:fldChar w:fldCharType="begin"/>
            </w:r>
            <w:r w:rsidR="00AB723A">
              <w:rPr>
                <w:noProof/>
                <w:webHidden/>
              </w:rPr>
              <w:instrText xml:space="preserve"> PAGEREF _Toc98760930 \h </w:instrText>
            </w:r>
            <w:r w:rsidR="00AB723A">
              <w:rPr>
                <w:noProof/>
                <w:webHidden/>
              </w:rPr>
            </w:r>
            <w:r w:rsidR="00AB723A">
              <w:rPr>
                <w:noProof/>
                <w:webHidden/>
              </w:rPr>
              <w:fldChar w:fldCharType="separate"/>
            </w:r>
            <w:r w:rsidR="00AB723A">
              <w:rPr>
                <w:noProof/>
                <w:webHidden/>
              </w:rPr>
              <w:t>11</w:t>
            </w:r>
            <w:r w:rsidR="00AB723A">
              <w:rPr>
                <w:noProof/>
                <w:webHidden/>
              </w:rPr>
              <w:fldChar w:fldCharType="end"/>
            </w:r>
          </w:hyperlink>
        </w:p>
        <w:p w14:paraId="2B01B981" w14:textId="6EB7BD8E"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31" w:history="1">
            <w:r w:rsidR="00AB723A" w:rsidRPr="00753EEF">
              <w:rPr>
                <w:rStyle w:val="Hyperlink"/>
                <w:noProof/>
              </w:rPr>
              <w:t>Demographics</w:t>
            </w:r>
            <w:r w:rsidR="00AB723A">
              <w:rPr>
                <w:noProof/>
                <w:webHidden/>
              </w:rPr>
              <w:tab/>
            </w:r>
            <w:r w:rsidR="00AB723A">
              <w:rPr>
                <w:noProof/>
                <w:webHidden/>
              </w:rPr>
              <w:fldChar w:fldCharType="begin"/>
            </w:r>
            <w:r w:rsidR="00AB723A">
              <w:rPr>
                <w:noProof/>
                <w:webHidden/>
              </w:rPr>
              <w:instrText xml:space="preserve"> PAGEREF _Toc98760931 \h </w:instrText>
            </w:r>
            <w:r w:rsidR="00AB723A">
              <w:rPr>
                <w:noProof/>
                <w:webHidden/>
              </w:rPr>
            </w:r>
            <w:r w:rsidR="00AB723A">
              <w:rPr>
                <w:noProof/>
                <w:webHidden/>
              </w:rPr>
              <w:fldChar w:fldCharType="separate"/>
            </w:r>
            <w:r w:rsidR="00AB723A">
              <w:rPr>
                <w:noProof/>
                <w:webHidden/>
              </w:rPr>
              <w:t>15</w:t>
            </w:r>
            <w:r w:rsidR="00AB723A">
              <w:rPr>
                <w:noProof/>
                <w:webHidden/>
              </w:rPr>
              <w:fldChar w:fldCharType="end"/>
            </w:r>
          </w:hyperlink>
        </w:p>
        <w:p w14:paraId="7C364F05" w14:textId="57E94D83"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32" w:history="1">
            <w:r w:rsidR="00AB723A" w:rsidRPr="00753EEF">
              <w:rPr>
                <w:rStyle w:val="Hyperlink"/>
                <w:noProof/>
              </w:rPr>
              <w:t>Comparisons prior to and during COVID-19</w:t>
            </w:r>
            <w:r w:rsidR="00AB723A">
              <w:rPr>
                <w:noProof/>
                <w:webHidden/>
              </w:rPr>
              <w:tab/>
            </w:r>
            <w:r w:rsidR="00AB723A">
              <w:rPr>
                <w:noProof/>
                <w:webHidden/>
              </w:rPr>
              <w:fldChar w:fldCharType="begin"/>
            </w:r>
            <w:r w:rsidR="00AB723A">
              <w:rPr>
                <w:noProof/>
                <w:webHidden/>
              </w:rPr>
              <w:instrText xml:space="preserve"> PAGEREF _Toc98760932 \h </w:instrText>
            </w:r>
            <w:r w:rsidR="00AB723A">
              <w:rPr>
                <w:noProof/>
                <w:webHidden/>
              </w:rPr>
            </w:r>
            <w:r w:rsidR="00AB723A">
              <w:rPr>
                <w:noProof/>
                <w:webHidden/>
              </w:rPr>
              <w:fldChar w:fldCharType="separate"/>
            </w:r>
            <w:r w:rsidR="00AB723A">
              <w:rPr>
                <w:noProof/>
                <w:webHidden/>
              </w:rPr>
              <w:t>27</w:t>
            </w:r>
            <w:r w:rsidR="00AB723A">
              <w:rPr>
                <w:noProof/>
                <w:webHidden/>
              </w:rPr>
              <w:fldChar w:fldCharType="end"/>
            </w:r>
          </w:hyperlink>
        </w:p>
        <w:p w14:paraId="4A8265C2" w14:textId="459B5904"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33" w:history="1">
            <w:r w:rsidR="00AB723A" w:rsidRPr="00753EEF">
              <w:rPr>
                <w:rStyle w:val="Hyperlink"/>
                <w:noProof/>
              </w:rPr>
              <w:t>Organisational response</w:t>
            </w:r>
            <w:r w:rsidR="00AB723A">
              <w:rPr>
                <w:noProof/>
                <w:webHidden/>
              </w:rPr>
              <w:tab/>
            </w:r>
            <w:r w:rsidR="00AB723A">
              <w:rPr>
                <w:noProof/>
                <w:webHidden/>
              </w:rPr>
              <w:fldChar w:fldCharType="begin"/>
            </w:r>
            <w:r w:rsidR="00AB723A">
              <w:rPr>
                <w:noProof/>
                <w:webHidden/>
              </w:rPr>
              <w:instrText xml:space="preserve"> PAGEREF _Toc98760933 \h </w:instrText>
            </w:r>
            <w:r w:rsidR="00AB723A">
              <w:rPr>
                <w:noProof/>
                <w:webHidden/>
              </w:rPr>
            </w:r>
            <w:r w:rsidR="00AB723A">
              <w:rPr>
                <w:noProof/>
                <w:webHidden/>
              </w:rPr>
              <w:fldChar w:fldCharType="separate"/>
            </w:r>
            <w:r w:rsidR="00AB723A">
              <w:rPr>
                <w:noProof/>
                <w:webHidden/>
              </w:rPr>
              <w:t>34</w:t>
            </w:r>
            <w:r w:rsidR="00AB723A">
              <w:rPr>
                <w:noProof/>
                <w:webHidden/>
              </w:rPr>
              <w:fldChar w:fldCharType="end"/>
            </w:r>
          </w:hyperlink>
        </w:p>
        <w:p w14:paraId="07868F88" w14:textId="5ED5D091" w:rsidR="00AB723A" w:rsidRDefault="00225158">
          <w:pPr>
            <w:pStyle w:val="TOC1"/>
            <w:rPr>
              <w:rFonts w:asciiTheme="minorHAnsi" w:eastAsiaTheme="minorEastAsia" w:hAnsiTheme="minorHAnsi"/>
              <w:noProof/>
              <w:sz w:val="22"/>
              <w:szCs w:val="22"/>
              <w:lang w:eastAsia="zh-CN"/>
            </w:rPr>
          </w:pPr>
          <w:hyperlink w:anchor="_Toc98760934" w:history="1">
            <w:r w:rsidR="00AB723A" w:rsidRPr="00753EEF">
              <w:rPr>
                <w:rStyle w:val="Hyperlink"/>
                <w:noProof/>
              </w:rPr>
              <w:t>Case study: GenWest</w:t>
            </w:r>
            <w:r w:rsidR="00AB723A">
              <w:rPr>
                <w:noProof/>
                <w:webHidden/>
              </w:rPr>
              <w:tab/>
            </w:r>
            <w:r w:rsidR="00AB723A">
              <w:rPr>
                <w:noProof/>
                <w:webHidden/>
              </w:rPr>
              <w:fldChar w:fldCharType="begin"/>
            </w:r>
            <w:r w:rsidR="00AB723A">
              <w:rPr>
                <w:noProof/>
                <w:webHidden/>
              </w:rPr>
              <w:instrText xml:space="preserve"> PAGEREF _Toc98760934 \h </w:instrText>
            </w:r>
            <w:r w:rsidR="00AB723A">
              <w:rPr>
                <w:noProof/>
                <w:webHidden/>
              </w:rPr>
            </w:r>
            <w:r w:rsidR="00AB723A">
              <w:rPr>
                <w:noProof/>
                <w:webHidden/>
              </w:rPr>
              <w:fldChar w:fldCharType="separate"/>
            </w:r>
            <w:r w:rsidR="00AB723A">
              <w:rPr>
                <w:noProof/>
                <w:webHidden/>
              </w:rPr>
              <w:t>40</w:t>
            </w:r>
            <w:r w:rsidR="00AB723A">
              <w:rPr>
                <w:noProof/>
                <w:webHidden/>
              </w:rPr>
              <w:fldChar w:fldCharType="end"/>
            </w:r>
          </w:hyperlink>
        </w:p>
        <w:p w14:paraId="503D15E5" w14:textId="16456813"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35" w:history="1">
            <w:r w:rsidR="00AB723A" w:rsidRPr="00753EEF">
              <w:rPr>
                <w:rStyle w:val="Hyperlink"/>
                <w:noProof/>
              </w:rPr>
              <w:t>About service delivery</w:t>
            </w:r>
            <w:r w:rsidR="00AB723A">
              <w:rPr>
                <w:noProof/>
                <w:webHidden/>
              </w:rPr>
              <w:tab/>
            </w:r>
            <w:r w:rsidR="00AB723A">
              <w:rPr>
                <w:noProof/>
                <w:webHidden/>
              </w:rPr>
              <w:fldChar w:fldCharType="begin"/>
            </w:r>
            <w:r w:rsidR="00AB723A">
              <w:rPr>
                <w:noProof/>
                <w:webHidden/>
              </w:rPr>
              <w:instrText xml:space="preserve"> PAGEREF _Toc98760935 \h </w:instrText>
            </w:r>
            <w:r w:rsidR="00AB723A">
              <w:rPr>
                <w:noProof/>
                <w:webHidden/>
              </w:rPr>
            </w:r>
            <w:r w:rsidR="00AB723A">
              <w:rPr>
                <w:noProof/>
                <w:webHidden/>
              </w:rPr>
              <w:fldChar w:fldCharType="separate"/>
            </w:r>
            <w:r w:rsidR="00AB723A">
              <w:rPr>
                <w:noProof/>
                <w:webHidden/>
              </w:rPr>
              <w:t>40</w:t>
            </w:r>
            <w:r w:rsidR="00AB723A">
              <w:rPr>
                <w:noProof/>
                <w:webHidden/>
              </w:rPr>
              <w:fldChar w:fldCharType="end"/>
            </w:r>
          </w:hyperlink>
        </w:p>
        <w:p w14:paraId="527DC297" w14:textId="5B5C82B9"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36" w:history="1">
            <w:r w:rsidR="00AB723A" w:rsidRPr="00753EEF">
              <w:rPr>
                <w:rStyle w:val="Hyperlink"/>
                <w:noProof/>
              </w:rPr>
              <w:t>What GenWest saw during COVID-19</w:t>
            </w:r>
            <w:r w:rsidR="00AB723A">
              <w:rPr>
                <w:noProof/>
                <w:webHidden/>
              </w:rPr>
              <w:tab/>
            </w:r>
            <w:r w:rsidR="00AB723A">
              <w:rPr>
                <w:noProof/>
                <w:webHidden/>
              </w:rPr>
              <w:fldChar w:fldCharType="begin"/>
            </w:r>
            <w:r w:rsidR="00AB723A">
              <w:rPr>
                <w:noProof/>
                <w:webHidden/>
              </w:rPr>
              <w:instrText xml:space="preserve"> PAGEREF _Toc98760936 \h </w:instrText>
            </w:r>
            <w:r w:rsidR="00AB723A">
              <w:rPr>
                <w:noProof/>
                <w:webHidden/>
              </w:rPr>
            </w:r>
            <w:r w:rsidR="00AB723A">
              <w:rPr>
                <w:noProof/>
                <w:webHidden/>
              </w:rPr>
              <w:fldChar w:fldCharType="separate"/>
            </w:r>
            <w:r w:rsidR="00AB723A">
              <w:rPr>
                <w:noProof/>
                <w:webHidden/>
              </w:rPr>
              <w:t>43</w:t>
            </w:r>
            <w:r w:rsidR="00AB723A">
              <w:rPr>
                <w:noProof/>
                <w:webHidden/>
              </w:rPr>
              <w:fldChar w:fldCharType="end"/>
            </w:r>
          </w:hyperlink>
        </w:p>
        <w:p w14:paraId="3D9EF0E0" w14:textId="32D2C74E"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37" w:history="1">
            <w:r w:rsidR="00AB723A" w:rsidRPr="00753EEF">
              <w:rPr>
                <w:rStyle w:val="Hyperlink"/>
                <w:noProof/>
              </w:rPr>
              <w:t>Demographics</w:t>
            </w:r>
            <w:r w:rsidR="00AB723A">
              <w:rPr>
                <w:noProof/>
                <w:webHidden/>
              </w:rPr>
              <w:tab/>
            </w:r>
            <w:r w:rsidR="00AB723A">
              <w:rPr>
                <w:noProof/>
                <w:webHidden/>
              </w:rPr>
              <w:fldChar w:fldCharType="begin"/>
            </w:r>
            <w:r w:rsidR="00AB723A">
              <w:rPr>
                <w:noProof/>
                <w:webHidden/>
              </w:rPr>
              <w:instrText xml:space="preserve"> PAGEREF _Toc98760937 \h </w:instrText>
            </w:r>
            <w:r w:rsidR="00AB723A">
              <w:rPr>
                <w:noProof/>
                <w:webHidden/>
              </w:rPr>
            </w:r>
            <w:r w:rsidR="00AB723A">
              <w:rPr>
                <w:noProof/>
                <w:webHidden/>
              </w:rPr>
              <w:fldChar w:fldCharType="separate"/>
            </w:r>
            <w:r w:rsidR="00AB723A">
              <w:rPr>
                <w:noProof/>
                <w:webHidden/>
              </w:rPr>
              <w:t>47</w:t>
            </w:r>
            <w:r w:rsidR="00AB723A">
              <w:rPr>
                <w:noProof/>
                <w:webHidden/>
              </w:rPr>
              <w:fldChar w:fldCharType="end"/>
            </w:r>
          </w:hyperlink>
        </w:p>
        <w:p w14:paraId="158B88EF" w14:textId="74207FCC"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38" w:history="1">
            <w:r w:rsidR="00AB723A" w:rsidRPr="00753EEF">
              <w:rPr>
                <w:rStyle w:val="Hyperlink"/>
                <w:noProof/>
              </w:rPr>
              <w:t>Comparisons prior to and during COVID-19</w:t>
            </w:r>
            <w:r w:rsidR="00AB723A">
              <w:rPr>
                <w:noProof/>
                <w:webHidden/>
              </w:rPr>
              <w:tab/>
            </w:r>
            <w:r w:rsidR="00AB723A">
              <w:rPr>
                <w:noProof/>
                <w:webHidden/>
              </w:rPr>
              <w:fldChar w:fldCharType="begin"/>
            </w:r>
            <w:r w:rsidR="00AB723A">
              <w:rPr>
                <w:noProof/>
                <w:webHidden/>
              </w:rPr>
              <w:instrText xml:space="preserve"> PAGEREF _Toc98760938 \h </w:instrText>
            </w:r>
            <w:r w:rsidR="00AB723A">
              <w:rPr>
                <w:noProof/>
                <w:webHidden/>
              </w:rPr>
            </w:r>
            <w:r w:rsidR="00AB723A">
              <w:rPr>
                <w:noProof/>
                <w:webHidden/>
              </w:rPr>
              <w:fldChar w:fldCharType="separate"/>
            </w:r>
            <w:r w:rsidR="00AB723A">
              <w:rPr>
                <w:noProof/>
                <w:webHidden/>
              </w:rPr>
              <w:t>52</w:t>
            </w:r>
            <w:r w:rsidR="00AB723A">
              <w:rPr>
                <w:noProof/>
                <w:webHidden/>
              </w:rPr>
              <w:fldChar w:fldCharType="end"/>
            </w:r>
          </w:hyperlink>
        </w:p>
        <w:p w14:paraId="2510FE36" w14:textId="13B814B9"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39" w:history="1">
            <w:r w:rsidR="00AB723A" w:rsidRPr="00753EEF">
              <w:rPr>
                <w:rStyle w:val="Hyperlink"/>
                <w:noProof/>
              </w:rPr>
              <w:t>Organisational response</w:t>
            </w:r>
            <w:r w:rsidR="00AB723A">
              <w:rPr>
                <w:noProof/>
                <w:webHidden/>
              </w:rPr>
              <w:tab/>
            </w:r>
            <w:r w:rsidR="00AB723A">
              <w:rPr>
                <w:noProof/>
                <w:webHidden/>
              </w:rPr>
              <w:fldChar w:fldCharType="begin"/>
            </w:r>
            <w:r w:rsidR="00AB723A">
              <w:rPr>
                <w:noProof/>
                <w:webHidden/>
              </w:rPr>
              <w:instrText xml:space="preserve"> PAGEREF _Toc98760939 \h </w:instrText>
            </w:r>
            <w:r w:rsidR="00AB723A">
              <w:rPr>
                <w:noProof/>
                <w:webHidden/>
              </w:rPr>
            </w:r>
            <w:r w:rsidR="00AB723A">
              <w:rPr>
                <w:noProof/>
                <w:webHidden/>
              </w:rPr>
              <w:fldChar w:fldCharType="separate"/>
            </w:r>
            <w:r w:rsidR="00AB723A">
              <w:rPr>
                <w:noProof/>
                <w:webHidden/>
              </w:rPr>
              <w:t>58</w:t>
            </w:r>
            <w:r w:rsidR="00AB723A">
              <w:rPr>
                <w:noProof/>
                <w:webHidden/>
              </w:rPr>
              <w:fldChar w:fldCharType="end"/>
            </w:r>
          </w:hyperlink>
        </w:p>
        <w:p w14:paraId="17F518BD" w14:textId="6549E69C" w:rsidR="00AB723A" w:rsidRDefault="00225158">
          <w:pPr>
            <w:pStyle w:val="TOC1"/>
            <w:rPr>
              <w:rFonts w:asciiTheme="minorHAnsi" w:eastAsiaTheme="minorEastAsia" w:hAnsiTheme="minorHAnsi"/>
              <w:noProof/>
              <w:sz w:val="22"/>
              <w:szCs w:val="22"/>
              <w:lang w:eastAsia="zh-CN"/>
            </w:rPr>
          </w:pPr>
          <w:hyperlink w:anchor="_Toc98760940" w:history="1">
            <w:r w:rsidR="00AB723A" w:rsidRPr="00753EEF">
              <w:rPr>
                <w:rStyle w:val="Hyperlink"/>
                <w:noProof/>
              </w:rPr>
              <w:t>Case study: Good Shepherd Australia New Zealand</w:t>
            </w:r>
            <w:r w:rsidR="00AB723A">
              <w:rPr>
                <w:noProof/>
                <w:webHidden/>
              </w:rPr>
              <w:tab/>
            </w:r>
            <w:r w:rsidR="00AB723A">
              <w:rPr>
                <w:noProof/>
                <w:webHidden/>
              </w:rPr>
              <w:fldChar w:fldCharType="begin"/>
            </w:r>
            <w:r w:rsidR="00AB723A">
              <w:rPr>
                <w:noProof/>
                <w:webHidden/>
              </w:rPr>
              <w:instrText xml:space="preserve"> PAGEREF _Toc98760940 \h </w:instrText>
            </w:r>
            <w:r w:rsidR="00AB723A">
              <w:rPr>
                <w:noProof/>
                <w:webHidden/>
              </w:rPr>
            </w:r>
            <w:r w:rsidR="00AB723A">
              <w:rPr>
                <w:noProof/>
                <w:webHidden/>
              </w:rPr>
              <w:fldChar w:fldCharType="separate"/>
            </w:r>
            <w:r w:rsidR="00AB723A">
              <w:rPr>
                <w:noProof/>
                <w:webHidden/>
              </w:rPr>
              <w:t>62</w:t>
            </w:r>
            <w:r w:rsidR="00AB723A">
              <w:rPr>
                <w:noProof/>
                <w:webHidden/>
              </w:rPr>
              <w:fldChar w:fldCharType="end"/>
            </w:r>
          </w:hyperlink>
        </w:p>
        <w:p w14:paraId="30C2CA33" w14:textId="6DE53641"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41" w:history="1">
            <w:r w:rsidR="00AB723A" w:rsidRPr="00753EEF">
              <w:rPr>
                <w:rStyle w:val="Hyperlink"/>
                <w:noProof/>
              </w:rPr>
              <w:t>About service delivery</w:t>
            </w:r>
            <w:r w:rsidR="00AB723A">
              <w:rPr>
                <w:noProof/>
                <w:webHidden/>
              </w:rPr>
              <w:tab/>
            </w:r>
            <w:r w:rsidR="00AB723A">
              <w:rPr>
                <w:noProof/>
                <w:webHidden/>
              </w:rPr>
              <w:fldChar w:fldCharType="begin"/>
            </w:r>
            <w:r w:rsidR="00AB723A">
              <w:rPr>
                <w:noProof/>
                <w:webHidden/>
              </w:rPr>
              <w:instrText xml:space="preserve"> PAGEREF _Toc98760941 \h </w:instrText>
            </w:r>
            <w:r w:rsidR="00AB723A">
              <w:rPr>
                <w:noProof/>
                <w:webHidden/>
              </w:rPr>
            </w:r>
            <w:r w:rsidR="00AB723A">
              <w:rPr>
                <w:noProof/>
                <w:webHidden/>
              </w:rPr>
              <w:fldChar w:fldCharType="separate"/>
            </w:r>
            <w:r w:rsidR="00AB723A">
              <w:rPr>
                <w:noProof/>
                <w:webHidden/>
              </w:rPr>
              <w:t>62</w:t>
            </w:r>
            <w:r w:rsidR="00AB723A">
              <w:rPr>
                <w:noProof/>
                <w:webHidden/>
              </w:rPr>
              <w:fldChar w:fldCharType="end"/>
            </w:r>
          </w:hyperlink>
        </w:p>
        <w:p w14:paraId="3BD3E191" w14:textId="771B000A"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42" w:history="1">
            <w:r w:rsidR="00AB723A" w:rsidRPr="00753EEF">
              <w:rPr>
                <w:rStyle w:val="Hyperlink"/>
                <w:noProof/>
              </w:rPr>
              <w:t>What Good Shepherd saw during COVID-19</w:t>
            </w:r>
            <w:r w:rsidR="00AB723A">
              <w:rPr>
                <w:noProof/>
                <w:webHidden/>
              </w:rPr>
              <w:tab/>
            </w:r>
            <w:r w:rsidR="00AB723A">
              <w:rPr>
                <w:noProof/>
                <w:webHidden/>
              </w:rPr>
              <w:fldChar w:fldCharType="begin"/>
            </w:r>
            <w:r w:rsidR="00AB723A">
              <w:rPr>
                <w:noProof/>
                <w:webHidden/>
              </w:rPr>
              <w:instrText xml:space="preserve"> PAGEREF _Toc98760942 \h </w:instrText>
            </w:r>
            <w:r w:rsidR="00AB723A">
              <w:rPr>
                <w:noProof/>
                <w:webHidden/>
              </w:rPr>
            </w:r>
            <w:r w:rsidR="00AB723A">
              <w:rPr>
                <w:noProof/>
                <w:webHidden/>
              </w:rPr>
              <w:fldChar w:fldCharType="separate"/>
            </w:r>
            <w:r w:rsidR="00AB723A">
              <w:rPr>
                <w:noProof/>
                <w:webHidden/>
              </w:rPr>
              <w:t>65</w:t>
            </w:r>
            <w:r w:rsidR="00AB723A">
              <w:rPr>
                <w:noProof/>
                <w:webHidden/>
              </w:rPr>
              <w:fldChar w:fldCharType="end"/>
            </w:r>
          </w:hyperlink>
        </w:p>
        <w:p w14:paraId="4A8145C0" w14:textId="5D48BBE4"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43" w:history="1">
            <w:r w:rsidR="00AB723A" w:rsidRPr="00753EEF">
              <w:rPr>
                <w:rStyle w:val="Hyperlink"/>
                <w:noProof/>
              </w:rPr>
              <w:t>Demographics</w:t>
            </w:r>
            <w:r w:rsidR="00AB723A">
              <w:rPr>
                <w:noProof/>
                <w:webHidden/>
              </w:rPr>
              <w:tab/>
            </w:r>
            <w:r w:rsidR="00AB723A">
              <w:rPr>
                <w:noProof/>
                <w:webHidden/>
              </w:rPr>
              <w:fldChar w:fldCharType="begin"/>
            </w:r>
            <w:r w:rsidR="00AB723A">
              <w:rPr>
                <w:noProof/>
                <w:webHidden/>
              </w:rPr>
              <w:instrText xml:space="preserve"> PAGEREF _Toc98760943 \h </w:instrText>
            </w:r>
            <w:r w:rsidR="00AB723A">
              <w:rPr>
                <w:noProof/>
                <w:webHidden/>
              </w:rPr>
            </w:r>
            <w:r w:rsidR="00AB723A">
              <w:rPr>
                <w:noProof/>
                <w:webHidden/>
              </w:rPr>
              <w:fldChar w:fldCharType="separate"/>
            </w:r>
            <w:r w:rsidR="00AB723A">
              <w:rPr>
                <w:noProof/>
                <w:webHidden/>
              </w:rPr>
              <w:t>69</w:t>
            </w:r>
            <w:r w:rsidR="00AB723A">
              <w:rPr>
                <w:noProof/>
                <w:webHidden/>
              </w:rPr>
              <w:fldChar w:fldCharType="end"/>
            </w:r>
          </w:hyperlink>
        </w:p>
        <w:p w14:paraId="5C5DBAED" w14:textId="400A9D26"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44" w:history="1">
            <w:r w:rsidR="00AB723A" w:rsidRPr="00753EEF">
              <w:rPr>
                <w:rStyle w:val="Hyperlink"/>
                <w:noProof/>
              </w:rPr>
              <w:t>Comparisons prior to and during COVID-19</w:t>
            </w:r>
            <w:r w:rsidR="00AB723A">
              <w:rPr>
                <w:noProof/>
                <w:webHidden/>
              </w:rPr>
              <w:tab/>
            </w:r>
            <w:r w:rsidR="00AB723A">
              <w:rPr>
                <w:noProof/>
                <w:webHidden/>
              </w:rPr>
              <w:fldChar w:fldCharType="begin"/>
            </w:r>
            <w:r w:rsidR="00AB723A">
              <w:rPr>
                <w:noProof/>
                <w:webHidden/>
              </w:rPr>
              <w:instrText xml:space="preserve"> PAGEREF _Toc98760944 \h </w:instrText>
            </w:r>
            <w:r w:rsidR="00AB723A">
              <w:rPr>
                <w:noProof/>
                <w:webHidden/>
              </w:rPr>
            </w:r>
            <w:r w:rsidR="00AB723A">
              <w:rPr>
                <w:noProof/>
                <w:webHidden/>
              </w:rPr>
              <w:fldChar w:fldCharType="separate"/>
            </w:r>
            <w:r w:rsidR="00AB723A">
              <w:rPr>
                <w:noProof/>
                <w:webHidden/>
              </w:rPr>
              <w:t>75</w:t>
            </w:r>
            <w:r w:rsidR="00AB723A">
              <w:rPr>
                <w:noProof/>
                <w:webHidden/>
              </w:rPr>
              <w:fldChar w:fldCharType="end"/>
            </w:r>
          </w:hyperlink>
        </w:p>
        <w:p w14:paraId="12D910AF" w14:textId="665E3510" w:rsidR="00AB723A" w:rsidRDefault="00225158">
          <w:pPr>
            <w:pStyle w:val="TOC2"/>
            <w:tabs>
              <w:tab w:val="right" w:leader="dot" w:pos="9016"/>
            </w:tabs>
            <w:rPr>
              <w:rFonts w:asciiTheme="minorHAnsi" w:eastAsiaTheme="minorEastAsia" w:hAnsiTheme="minorHAnsi"/>
              <w:noProof/>
              <w:sz w:val="22"/>
              <w:szCs w:val="22"/>
              <w:lang w:eastAsia="zh-CN"/>
            </w:rPr>
          </w:pPr>
          <w:hyperlink w:anchor="_Toc98760945" w:history="1">
            <w:r w:rsidR="00AB723A" w:rsidRPr="00753EEF">
              <w:rPr>
                <w:rStyle w:val="Hyperlink"/>
                <w:noProof/>
              </w:rPr>
              <w:t>Organisational response</w:t>
            </w:r>
            <w:r w:rsidR="00AB723A">
              <w:rPr>
                <w:noProof/>
                <w:webHidden/>
              </w:rPr>
              <w:tab/>
            </w:r>
            <w:r w:rsidR="00AB723A">
              <w:rPr>
                <w:noProof/>
                <w:webHidden/>
              </w:rPr>
              <w:fldChar w:fldCharType="begin"/>
            </w:r>
            <w:r w:rsidR="00AB723A">
              <w:rPr>
                <w:noProof/>
                <w:webHidden/>
              </w:rPr>
              <w:instrText xml:space="preserve"> PAGEREF _Toc98760945 \h </w:instrText>
            </w:r>
            <w:r w:rsidR="00AB723A">
              <w:rPr>
                <w:noProof/>
                <w:webHidden/>
              </w:rPr>
            </w:r>
            <w:r w:rsidR="00AB723A">
              <w:rPr>
                <w:noProof/>
                <w:webHidden/>
              </w:rPr>
              <w:fldChar w:fldCharType="separate"/>
            </w:r>
            <w:r w:rsidR="00AB723A">
              <w:rPr>
                <w:noProof/>
                <w:webHidden/>
              </w:rPr>
              <w:t>81</w:t>
            </w:r>
            <w:r w:rsidR="00AB723A">
              <w:rPr>
                <w:noProof/>
                <w:webHidden/>
              </w:rPr>
              <w:fldChar w:fldCharType="end"/>
            </w:r>
          </w:hyperlink>
        </w:p>
        <w:p w14:paraId="2C61C358" w14:textId="511DBEC2" w:rsidR="00AB723A" w:rsidRDefault="00225158">
          <w:pPr>
            <w:pStyle w:val="TOC1"/>
            <w:rPr>
              <w:rFonts w:asciiTheme="minorHAnsi" w:eastAsiaTheme="minorEastAsia" w:hAnsiTheme="minorHAnsi"/>
              <w:noProof/>
              <w:sz w:val="22"/>
              <w:szCs w:val="22"/>
              <w:lang w:eastAsia="zh-CN"/>
            </w:rPr>
          </w:pPr>
          <w:hyperlink w:anchor="_Toc98760946" w:history="1">
            <w:r w:rsidR="00AB723A" w:rsidRPr="00753EEF">
              <w:rPr>
                <w:rStyle w:val="Hyperlink"/>
                <w:noProof/>
              </w:rPr>
              <w:t>Next steps</w:t>
            </w:r>
            <w:r w:rsidR="00AB723A">
              <w:rPr>
                <w:noProof/>
                <w:webHidden/>
              </w:rPr>
              <w:tab/>
            </w:r>
            <w:r w:rsidR="00AB723A">
              <w:rPr>
                <w:noProof/>
                <w:webHidden/>
              </w:rPr>
              <w:fldChar w:fldCharType="begin"/>
            </w:r>
            <w:r w:rsidR="00AB723A">
              <w:rPr>
                <w:noProof/>
                <w:webHidden/>
              </w:rPr>
              <w:instrText xml:space="preserve"> PAGEREF _Toc98760946 \h </w:instrText>
            </w:r>
            <w:r w:rsidR="00AB723A">
              <w:rPr>
                <w:noProof/>
                <w:webHidden/>
              </w:rPr>
            </w:r>
            <w:r w:rsidR="00AB723A">
              <w:rPr>
                <w:noProof/>
                <w:webHidden/>
              </w:rPr>
              <w:fldChar w:fldCharType="separate"/>
            </w:r>
            <w:r w:rsidR="00AB723A">
              <w:rPr>
                <w:noProof/>
                <w:webHidden/>
              </w:rPr>
              <w:t>85</w:t>
            </w:r>
            <w:r w:rsidR="00AB723A">
              <w:rPr>
                <w:noProof/>
                <w:webHidden/>
              </w:rPr>
              <w:fldChar w:fldCharType="end"/>
            </w:r>
          </w:hyperlink>
        </w:p>
        <w:p w14:paraId="5B9281A8" w14:textId="3D8FE288" w:rsidR="00182D46" w:rsidRPr="004849EE" w:rsidRDefault="00E8663B">
          <w:pPr>
            <w:spacing w:line="259" w:lineRule="auto"/>
          </w:pPr>
          <w:r>
            <w:fldChar w:fldCharType="end"/>
          </w:r>
        </w:p>
        <w:p w14:paraId="1E01302C" w14:textId="6A5B8B10" w:rsidR="00FE6486" w:rsidRDefault="00FE6486">
          <w:pPr>
            <w:spacing w:line="259" w:lineRule="auto"/>
            <w:rPr>
              <w:rFonts w:eastAsiaTheme="majorEastAsia" w:cs="Assistant SemiBold"/>
              <w:b/>
              <w:color w:val="323E4F" w:themeColor="text2" w:themeShade="BF"/>
              <w:sz w:val="56"/>
              <w:szCs w:val="52"/>
            </w:rPr>
          </w:pPr>
          <w:r>
            <w:br w:type="page"/>
          </w:r>
        </w:p>
        <w:p w14:paraId="665D9CBC" w14:textId="77777777" w:rsidR="00072AEF" w:rsidRDefault="00072AEF" w:rsidP="00FF4500">
          <w:pPr>
            <w:pStyle w:val="Heading1"/>
          </w:pPr>
          <w:bookmarkStart w:id="2" w:name="_Toc98760921"/>
          <w:bookmarkEnd w:id="1"/>
          <w:r>
            <w:lastRenderedPageBreak/>
            <w:t>Acknowledgements</w:t>
          </w:r>
          <w:bookmarkEnd w:id="2"/>
        </w:p>
        <w:p w14:paraId="3052D85A" w14:textId="19100A1B" w:rsidR="00072AEF" w:rsidRDefault="00072AEF" w:rsidP="00072AEF">
          <w:pPr>
            <w:spacing w:line="259" w:lineRule="auto"/>
          </w:pPr>
          <w:r>
            <w:t xml:space="preserve">The </w:t>
          </w:r>
          <w:r w:rsidRPr="00FF4500">
            <w:rPr>
              <w:i/>
              <w:iCs/>
            </w:rPr>
            <w:t>Future-proofing Safety</w:t>
          </w:r>
          <w:r>
            <w:t xml:space="preserve"> consortium respectfully acknowledges the Kulin Nation as Traditional Owners of the land where we operate. We acknowledge Aboriginal and Torres Strait Islanders as the first peoples of Australia. Sovereignty was never ceded, and </w:t>
          </w:r>
          <w:r w:rsidR="00E129C2" w:rsidRPr="00E129C2">
            <w:t>Aboriginal and Torres Strait Islanders</w:t>
          </w:r>
          <w:r>
            <w:t xml:space="preserve"> remain strong in their connection to land, culture and in resisting colonisation.</w:t>
          </w:r>
        </w:p>
        <w:p w14:paraId="7542B86D" w14:textId="77777777" w:rsidR="00072AEF" w:rsidRDefault="00072AEF" w:rsidP="00FF4500">
          <w:pPr>
            <w:pStyle w:val="Heading1"/>
          </w:pPr>
          <w:bookmarkStart w:id="3" w:name="_Toc98760922"/>
          <w:r>
            <w:t>About Future-proofing Safety</w:t>
          </w:r>
          <w:bookmarkEnd w:id="3"/>
        </w:p>
        <w:p w14:paraId="1BAA3598" w14:textId="77777777" w:rsidR="00072AEF" w:rsidRDefault="00072AEF" w:rsidP="00072AEF">
          <w:pPr>
            <w:spacing w:line="259" w:lineRule="auto"/>
          </w:pPr>
          <w:r>
            <w:t xml:space="preserve">This report is part of the </w:t>
          </w:r>
          <w:r w:rsidRPr="00FF4500">
            <w:rPr>
              <w:i/>
              <w:iCs/>
            </w:rPr>
            <w:t>Future-proofing Safety</w:t>
          </w:r>
          <w:r>
            <w:t xml:space="preserve"> project. </w:t>
          </w:r>
        </w:p>
        <w:p w14:paraId="6BD6D5C4" w14:textId="77777777" w:rsidR="00072AEF" w:rsidRDefault="00072AEF" w:rsidP="00072AEF">
          <w:pPr>
            <w:spacing w:line="259" w:lineRule="auto"/>
          </w:pPr>
          <w:r>
            <w:t>Led by the Centre for Family Research and Evaluation (CFRE) at Drummond Street Services, RMIT University's Centre for Innovative Justice (CIJ) and the Australian Institute of Family Studies (AIFS), our project aims to take a system-wide view of service interactions for people who experienced or used family violence during the COVID-19 pandemic. This includes recognising that conventional entry points to support, as well as conventional approaches to service delivery, fell away as practitioners scrambled to support a population in crisis, while simultaneously adapting to changes brought about by the pandemic in their own lives.</w:t>
          </w:r>
        </w:p>
        <w:p w14:paraId="2BD3C055" w14:textId="77777777" w:rsidR="00072AEF" w:rsidRDefault="00072AEF" w:rsidP="00072AEF">
          <w:pPr>
            <w:spacing w:line="259" w:lineRule="auto"/>
          </w:pPr>
          <w:r>
            <w:t>The entirety of the project will look at how services adapted, what gaps and weaknesses were surfaced, and how services responded to the crisis. It will also take a future focus by providing tangible recommendations on how we can future-proof Victoria’s responses to family violence post-pandemic.</w:t>
          </w:r>
        </w:p>
        <w:p w14:paraId="59EB6BA2" w14:textId="77777777" w:rsidR="00DB3694" w:rsidRDefault="00072AEF" w:rsidP="00072AEF">
          <w:r>
            <w:t xml:space="preserve">The </w:t>
          </w:r>
          <w:r w:rsidRPr="00DB3694">
            <w:rPr>
              <w:i/>
              <w:iCs/>
            </w:rPr>
            <w:t>Future-proofing Safety</w:t>
          </w:r>
          <w:r>
            <w:t xml:space="preserve"> project commenced in August 2021 and is funded by Family Safety Victoria.</w:t>
          </w:r>
        </w:p>
        <w:p w14:paraId="586A835B" w14:textId="77777777" w:rsidR="00DB3694" w:rsidRDefault="00DB3694">
          <w:pPr>
            <w:spacing w:line="259" w:lineRule="auto"/>
          </w:pPr>
          <w:r>
            <w:br w:type="page"/>
          </w:r>
        </w:p>
        <w:p w14:paraId="0BEF7CD8" w14:textId="3AB8283C" w:rsidR="009F0242" w:rsidRDefault="009F0242" w:rsidP="009F0242">
          <w:pPr>
            <w:pStyle w:val="Heading1"/>
          </w:pPr>
          <w:bookmarkStart w:id="4" w:name="_Toc95734874"/>
          <w:bookmarkStart w:id="5" w:name="_Toc98760923"/>
          <w:r>
            <w:lastRenderedPageBreak/>
            <w:t xml:space="preserve">Organisational </w:t>
          </w:r>
          <w:bookmarkEnd w:id="4"/>
          <w:r w:rsidR="000F3BF5">
            <w:t>c</w:t>
          </w:r>
          <w:r>
            <w:t xml:space="preserve">ase </w:t>
          </w:r>
          <w:r w:rsidR="000F3BF5">
            <w:t>s</w:t>
          </w:r>
          <w:r>
            <w:t>tudies</w:t>
          </w:r>
          <w:bookmarkEnd w:id="5"/>
        </w:p>
        <w:p w14:paraId="7D951E9E" w14:textId="527B53C0" w:rsidR="009F0242" w:rsidRDefault="009F0242" w:rsidP="009F0242">
          <w:r>
            <w:t>The</w:t>
          </w:r>
          <w:r w:rsidRPr="0017059B">
            <w:t xml:space="preserve"> </w:t>
          </w:r>
          <w:r w:rsidR="005F2BD7">
            <w:t>o</w:t>
          </w:r>
          <w:r>
            <w:t xml:space="preserve">rganisational </w:t>
          </w:r>
          <w:r w:rsidR="000F3BF5">
            <w:t>c</w:t>
          </w:r>
          <w:r>
            <w:t xml:space="preserve">ase </w:t>
          </w:r>
          <w:r w:rsidR="000F3BF5">
            <w:t>s</w:t>
          </w:r>
          <w:r>
            <w:t xml:space="preserve">tudies component of the project </w:t>
          </w:r>
          <w:r w:rsidRPr="0017059B">
            <w:t xml:space="preserve">includes the development of three detailed organisational data case studies, using data collected by </w:t>
          </w:r>
          <w:r w:rsidRPr="002B3078">
            <w:rPr>
              <w:i/>
            </w:rPr>
            <w:t>Future-proofing Safety</w:t>
          </w:r>
          <w:r>
            <w:t>’s</w:t>
          </w:r>
          <w:r w:rsidRPr="0017059B">
            <w:t xml:space="preserve"> Sector Partners</w:t>
          </w:r>
          <w:r>
            <w:t>:</w:t>
          </w:r>
        </w:p>
        <w:p w14:paraId="5CC47D6C" w14:textId="77777777" w:rsidR="009F0242" w:rsidRPr="004B4AB1" w:rsidRDefault="009F0242" w:rsidP="00717082">
          <w:pPr>
            <w:pStyle w:val="ListParagraph"/>
            <w:numPr>
              <w:ilvl w:val="0"/>
              <w:numId w:val="6"/>
            </w:numPr>
          </w:pPr>
          <w:r w:rsidRPr="004B4AB1">
            <w:t>Drummond Street Services</w:t>
          </w:r>
        </w:p>
        <w:p w14:paraId="790C72F8" w14:textId="77777777" w:rsidR="009F0242" w:rsidRPr="004B4AB1" w:rsidRDefault="009F0242" w:rsidP="00717082">
          <w:pPr>
            <w:pStyle w:val="ListParagraph"/>
            <w:numPr>
              <w:ilvl w:val="0"/>
              <w:numId w:val="6"/>
            </w:numPr>
          </w:pPr>
          <w:r w:rsidRPr="004B4AB1">
            <w:t>Good Shepherd Australia New Zealand</w:t>
          </w:r>
        </w:p>
        <w:p w14:paraId="6DA39305" w14:textId="77777777" w:rsidR="009F0242" w:rsidRPr="004B4AB1" w:rsidRDefault="009F0242" w:rsidP="00717082">
          <w:pPr>
            <w:pStyle w:val="ListParagraph"/>
            <w:numPr>
              <w:ilvl w:val="0"/>
              <w:numId w:val="6"/>
            </w:numPr>
          </w:pPr>
          <w:r w:rsidRPr="004B4AB1">
            <w:t xml:space="preserve">GenWest. </w:t>
          </w:r>
        </w:p>
        <w:p w14:paraId="374C1BA1" w14:textId="3CE7030C" w:rsidR="009F0242" w:rsidRDefault="009F0242" w:rsidP="009F0242">
          <w:r>
            <w:t xml:space="preserve">The </w:t>
          </w:r>
          <w:r w:rsidR="005F2BD7">
            <w:t>o</w:t>
          </w:r>
          <w:r>
            <w:t xml:space="preserve">rganisational </w:t>
          </w:r>
          <w:r w:rsidR="00696983">
            <w:t>c</w:t>
          </w:r>
          <w:r>
            <w:t xml:space="preserve">ase </w:t>
          </w:r>
          <w:r w:rsidR="00696983">
            <w:t>s</w:t>
          </w:r>
          <w:r>
            <w:t xml:space="preserve">tudies aim to help us better understand how presentations of family violence changed for clients accessing the three distinct services in the context of the COVID-19 pandemic. This includes how risk and co-occurring needs changed, as well as the changes for different client cohorts. The case studies also explore service demand, service responses and key organisational learnings. </w:t>
          </w:r>
        </w:p>
        <w:p w14:paraId="7DCCD038" w14:textId="77777777" w:rsidR="009F0242" w:rsidRPr="00C42D45" w:rsidRDefault="009F0242" w:rsidP="009F0242">
          <w:r>
            <w:t xml:space="preserve">These case studies are also available in an interactive format on </w:t>
          </w:r>
          <w:hyperlink r:id="rId18" w:history="1">
            <w:r w:rsidRPr="00181440">
              <w:rPr>
                <w:rStyle w:val="Hyperlink"/>
              </w:rPr>
              <w:t xml:space="preserve">the </w:t>
            </w:r>
            <w:r w:rsidRPr="00181440">
              <w:rPr>
                <w:rStyle w:val="Hyperlink"/>
                <w:i/>
                <w:iCs/>
              </w:rPr>
              <w:t>Future-proofing Safety</w:t>
            </w:r>
            <w:r w:rsidRPr="00181440">
              <w:rPr>
                <w:rStyle w:val="Hyperlink"/>
              </w:rPr>
              <w:t xml:space="preserve"> website</w:t>
            </w:r>
          </w:hyperlink>
          <w:r>
            <w:t>.</w:t>
          </w:r>
        </w:p>
        <w:p w14:paraId="355CE14A" w14:textId="77777777" w:rsidR="009F0242" w:rsidRDefault="009F0242" w:rsidP="009F0242">
          <w:r>
            <w:t xml:space="preserve">Key learnings from these case studies will be used to inform future aspects of the </w:t>
          </w:r>
          <w:r w:rsidRPr="002B3078">
            <w:rPr>
              <w:i/>
            </w:rPr>
            <w:t>Future-proofing Safety</w:t>
          </w:r>
          <w:r>
            <w:t xml:space="preserve"> project, including sector-wide and service user research. Future findings will be shared in a second interactive report, a final research report, and a crisis readiness framework.</w:t>
          </w:r>
        </w:p>
        <w:p w14:paraId="473BB1EB" w14:textId="46FA1F53" w:rsidR="009F0242" w:rsidRDefault="009F0242" w:rsidP="009F0242">
          <w:pPr>
            <w:pStyle w:val="Heading2"/>
          </w:pPr>
          <w:bookmarkStart w:id="6" w:name="_Toc95734875"/>
          <w:bookmarkStart w:id="7" w:name="_Toc98760924"/>
          <w:r>
            <w:t xml:space="preserve">About </w:t>
          </w:r>
          <w:r w:rsidR="009D6A36">
            <w:t>d</w:t>
          </w:r>
          <w:r>
            <w:t xml:space="preserve">ata </w:t>
          </w:r>
          <w:r w:rsidR="009D6A36">
            <w:t>c</w:t>
          </w:r>
          <w:r>
            <w:t xml:space="preserve">apture and </w:t>
          </w:r>
          <w:r w:rsidR="009D6A36">
            <w:t>a</w:t>
          </w:r>
          <w:r>
            <w:t>nalysis</w:t>
          </w:r>
          <w:bookmarkEnd w:id="6"/>
          <w:bookmarkEnd w:id="7"/>
        </w:p>
        <w:p w14:paraId="58255CA3" w14:textId="77777777" w:rsidR="009F0242" w:rsidRDefault="009F0242" w:rsidP="009F0242">
          <w:r>
            <w:t>Each organisation exported de-identified data from their own client record management (CRM) systems and analysed this in Excel. CRM systems' primary purpose is for keeping a record of clients who access the service and not primarily for research or reporting. As a result, there is a large variation in how each organisation’s different staff enter data, and this has an impact on comparisons between organisations. This is one of the reasons why the organisational case studies make up only a part of this project. Aggregate data was explored for different cohorts (by demographics, time periods, and programs).</w:t>
          </w:r>
        </w:p>
        <w:p w14:paraId="2C5FB202" w14:textId="77777777" w:rsidR="009F0242" w:rsidRDefault="009F0242" w:rsidP="009F0242">
          <w:r>
            <w:t>Drummond Street, GenWest and Good Shepherd each looked at the percentage of clients existing across demographics and what percentage of those clients experienced a variety of presenting needs within a COVID-19 impacted timeframe (18 months between 2020 and 2021). This was then compared to what was occurring prior to COVID-19. The two time periods captured new and existing clients that saw services within that time.</w:t>
          </w:r>
        </w:p>
        <w:p w14:paraId="6E3CB391" w14:textId="77777777" w:rsidR="009F0242" w:rsidRDefault="009F0242" w:rsidP="009F0242">
          <w:r>
            <w:lastRenderedPageBreak/>
            <w:t>The two time periods being compared are</w:t>
          </w:r>
          <w:r w:rsidDel="0019398F">
            <w:t>:</w:t>
          </w:r>
        </w:p>
        <w:p w14:paraId="29C1AE66" w14:textId="77777777" w:rsidR="009F0242" w:rsidRPr="009F0242" w:rsidRDefault="009F0242" w:rsidP="00717082">
          <w:pPr>
            <w:pStyle w:val="ListParagraph"/>
            <w:numPr>
              <w:ilvl w:val="0"/>
              <w:numId w:val="3"/>
            </w:numPr>
          </w:pPr>
          <w:r w:rsidRPr="009F0242">
            <w:t>1 April 2018 to 30 September 2019, referred to as “prior to COVID-19”</w:t>
          </w:r>
        </w:p>
        <w:p w14:paraId="064C481D" w14:textId="77777777" w:rsidR="009F0242" w:rsidRPr="009F0242" w:rsidRDefault="009F0242" w:rsidP="00717082">
          <w:pPr>
            <w:pStyle w:val="ListParagraph"/>
            <w:numPr>
              <w:ilvl w:val="0"/>
              <w:numId w:val="3"/>
            </w:numPr>
          </w:pPr>
          <w:r w:rsidRPr="009F0242">
            <w:t>1 April 2020 to 30 September 2021, referred to as “during COVID-19”.</w:t>
          </w:r>
        </w:p>
        <w:p w14:paraId="377737D5" w14:textId="77777777" w:rsidR="009F0242" w:rsidRDefault="009F0242" w:rsidP="009F0242">
          <w:r>
            <w:t>Following the quantitative data analysis, each Sector Partner consulted with practitioners to inform the ‘organisational responses’ component of their case study. Partners were provided with a small number of qualitative questions to guide them in this process. Key questions were:</w:t>
          </w:r>
        </w:p>
        <w:p w14:paraId="73A5C22A" w14:textId="77777777" w:rsidR="009F0242" w:rsidRPr="009F0242" w:rsidRDefault="009F0242" w:rsidP="00717082">
          <w:pPr>
            <w:pStyle w:val="ListParagraph"/>
            <w:numPr>
              <w:ilvl w:val="0"/>
              <w:numId w:val="4"/>
            </w:numPr>
          </w:pPr>
          <w:r w:rsidRPr="009F0242">
            <w:t>What have been the challenges of service delivery in the context of COVID-19?</w:t>
          </w:r>
        </w:p>
        <w:p w14:paraId="3916B2A7" w14:textId="77777777" w:rsidR="009F0242" w:rsidRPr="009F0242" w:rsidRDefault="009F0242" w:rsidP="00717082">
          <w:pPr>
            <w:pStyle w:val="ListParagraph"/>
            <w:numPr>
              <w:ilvl w:val="0"/>
              <w:numId w:val="4"/>
            </w:numPr>
          </w:pPr>
          <w:r w:rsidRPr="009F0242">
            <w:t>How has your organisation responded to COVID-19?</w:t>
          </w:r>
        </w:p>
        <w:p w14:paraId="36D09200" w14:textId="77777777" w:rsidR="009F0242" w:rsidRPr="009F0242" w:rsidRDefault="009F0242" w:rsidP="00717082">
          <w:pPr>
            <w:pStyle w:val="ListParagraph"/>
            <w:numPr>
              <w:ilvl w:val="0"/>
              <w:numId w:val="4"/>
            </w:numPr>
          </w:pPr>
          <w:r w:rsidRPr="009F0242">
            <w:t>What key learnings would your organisation like to take into the future?</w:t>
          </w:r>
        </w:p>
        <w:p w14:paraId="7A7DE1F6" w14:textId="77777777" w:rsidR="009F0242" w:rsidRDefault="009F0242" w:rsidP="009F0242">
          <w:r>
            <w:t xml:space="preserve">Finally, all Sector and Consortium Partners came together to workshop the similarities and differences across the case studies, and to identify key findings for further exploration in future components of the research. </w:t>
          </w:r>
        </w:p>
        <w:p w14:paraId="4A52A403" w14:textId="20EF14E7" w:rsidR="009F0242" w:rsidRDefault="009F0242" w:rsidP="009F0242">
          <w:pPr>
            <w:pStyle w:val="Heading3"/>
          </w:pPr>
          <w:r>
            <w:t xml:space="preserve">Data </w:t>
          </w:r>
          <w:r w:rsidR="00A01281">
            <w:t>s</w:t>
          </w:r>
          <w:r>
            <w:t>ources</w:t>
          </w:r>
        </w:p>
        <w:p w14:paraId="5F6AD47D" w14:textId="77777777" w:rsidR="009F0242" w:rsidRPr="00995747" w:rsidRDefault="009F0242" w:rsidP="009F0242">
          <w:r>
            <w:t xml:space="preserve">CRM systems were used to identify information about client cohorts including demographics, service use and presenting needs. </w:t>
          </w:r>
        </w:p>
        <w:p w14:paraId="2066B19A" w14:textId="77777777" w:rsidR="009F0242" w:rsidRPr="001532A7" w:rsidRDefault="009F0242" w:rsidP="009F0242">
          <w:pPr>
            <w:rPr>
              <w:lang w:eastAsia="en-AU"/>
            </w:rPr>
          </w:pPr>
          <w:r w:rsidRPr="001532A7">
            <w:rPr>
              <w:lang w:eastAsia="en-AU"/>
            </w:rPr>
            <w:t>Both GenWest and Good Shepherd use the Specialist Homelessness Information Platform (SHIP). This is the client management system used by services that receive government funding for certain programs or services, including family violence programs. SHIP is used to document client and service data such as:</w:t>
          </w:r>
        </w:p>
        <w:p w14:paraId="1EB833E5" w14:textId="77777777" w:rsidR="009F0242" w:rsidRPr="004B4AB1" w:rsidRDefault="009F0242" w:rsidP="00717082">
          <w:pPr>
            <w:pStyle w:val="ListParagraph"/>
            <w:numPr>
              <w:ilvl w:val="0"/>
              <w:numId w:val="5"/>
            </w:numPr>
          </w:pPr>
          <w:r w:rsidRPr="004B4AB1">
            <w:t>client needs</w:t>
          </w:r>
        </w:p>
        <w:p w14:paraId="1BAB8E98" w14:textId="77777777" w:rsidR="009F0242" w:rsidRPr="004B4AB1" w:rsidRDefault="009F0242" w:rsidP="00717082">
          <w:pPr>
            <w:pStyle w:val="ListParagraph"/>
            <w:numPr>
              <w:ilvl w:val="0"/>
              <w:numId w:val="5"/>
            </w:numPr>
          </w:pPr>
          <w:r w:rsidRPr="004B4AB1">
            <w:t>the type(s) and length of support received</w:t>
          </w:r>
        </w:p>
        <w:p w14:paraId="1F8A0BC0" w14:textId="77777777" w:rsidR="009F0242" w:rsidRPr="004B4AB1" w:rsidRDefault="009F0242" w:rsidP="00717082">
          <w:pPr>
            <w:pStyle w:val="ListParagraph"/>
            <w:numPr>
              <w:ilvl w:val="0"/>
              <w:numId w:val="5"/>
            </w:numPr>
          </w:pPr>
          <w:r w:rsidRPr="004B4AB1">
            <w:t>family violence risk and safety planning</w:t>
          </w:r>
        </w:p>
        <w:p w14:paraId="0DF196E0" w14:textId="77777777" w:rsidR="009F0242" w:rsidRPr="004B4AB1" w:rsidRDefault="009F0242" w:rsidP="00717082">
          <w:pPr>
            <w:pStyle w:val="ListParagraph"/>
            <w:numPr>
              <w:ilvl w:val="0"/>
              <w:numId w:val="5"/>
            </w:numPr>
          </w:pPr>
          <w:r w:rsidRPr="004B4AB1">
            <w:t>demographic information.</w:t>
          </w:r>
        </w:p>
        <w:p w14:paraId="0835C5DA" w14:textId="77777777" w:rsidR="009F0242" w:rsidRPr="001532A7" w:rsidRDefault="009F0242" w:rsidP="009F0242">
          <w:pPr>
            <w:rPr>
              <w:lang w:eastAsia="en-AU"/>
            </w:rPr>
          </w:pPr>
          <w:r w:rsidRPr="001532A7">
            <w:rPr>
              <w:lang w:eastAsia="en-AU"/>
            </w:rPr>
            <w:t>This data is reported to funders and used by agencies to provide and improve services. Data is entered into SHIP at all stages of the client journey: when the referral is received, while support is received, and when support finishes. SHIP has basic data reporting and exporting functions.</w:t>
          </w:r>
          <w:r w:rsidRPr="001532A7">
            <w:rPr>
              <w:rFonts w:ascii="Calibri" w:hAnsi="Calibri" w:cs="Calibri"/>
              <w:lang w:eastAsia="en-AU"/>
            </w:rPr>
            <w:t> </w:t>
          </w:r>
        </w:p>
        <w:p w14:paraId="11F3F1B2" w14:textId="77777777" w:rsidR="009F0242" w:rsidRPr="001532A7" w:rsidRDefault="009F0242" w:rsidP="009F0242">
          <w:pPr>
            <w:rPr>
              <w:lang w:eastAsia="en-AU"/>
            </w:rPr>
          </w:pPr>
          <w:r w:rsidRPr="001532A7">
            <w:rPr>
              <w:lang w:eastAsia="en-AU"/>
            </w:rPr>
            <w:t xml:space="preserve">Drummond Street uses a </w:t>
          </w:r>
          <w:r>
            <w:rPr>
              <w:lang w:eastAsia="en-AU"/>
            </w:rPr>
            <w:t>CRM</w:t>
          </w:r>
          <w:r w:rsidRPr="001532A7">
            <w:rPr>
              <w:lang w:eastAsia="en-AU"/>
            </w:rPr>
            <w:t xml:space="preserve"> system, Holly, to document client and service data and files. For each client, Holly records:</w:t>
          </w:r>
        </w:p>
        <w:p w14:paraId="568C07AA" w14:textId="77777777" w:rsidR="009F0242" w:rsidRPr="001532A7" w:rsidRDefault="009F0242" w:rsidP="00717082">
          <w:pPr>
            <w:pStyle w:val="ListParagraph"/>
            <w:numPr>
              <w:ilvl w:val="0"/>
              <w:numId w:val="2"/>
            </w:numPr>
            <w:spacing w:line="360" w:lineRule="auto"/>
            <w:ind w:right="0"/>
          </w:pPr>
          <w:r w:rsidRPr="001532A7">
            <w:lastRenderedPageBreak/>
            <w:t>a broad range of a client’s presenting needs</w:t>
          </w:r>
        </w:p>
        <w:p w14:paraId="550EE1F8" w14:textId="77777777" w:rsidR="009F0242" w:rsidRPr="001532A7" w:rsidRDefault="009F0242" w:rsidP="00717082">
          <w:pPr>
            <w:pStyle w:val="ListParagraph"/>
            <w:numPr>
              <w:ilvl w:val="0"/>
              <w:numId w:val="2"/>
            </w:numPr>
            <w:spacing w:line="360" w:lineRule="auto"/>
            <w:ind w:right="0"/>
          </w:pPr>
          <w:r w:rsidRPr="001532A7">
            <w:t>risks and risk alerts</w:t>
          </w:r>
        </w:p>
        <w:p w14:paraId="36FFBF6F" w14:textId="77777777" w:rsidR="009F0242" w:rsidRPr="001532A7" w:rsidRDefault="009F0242" w:rsidP="00717082">
          <w:pPr>
            <w:pStyle w:val="ListParagraph"/>
            <w:numPr>
              <w:ilvl w:val="0"/>
              <w:numId w:val="2"/>
            </w:numPr>
            <w:spacing w:line="360" w:lineRule="auto"/>
            <w:ind w:right="0"/>
          </w:pPr>
          <w:r w:rsidRPr="001532A7">
            <w:t>demographics</w:t>
          </w:r>
        </w:p>
        <w:p w14:paraId="0C5FE516" w14:textId="77777777" w:rsidR="009F0242" w:rsidRPr="001532A7" w:rsidRDefault="009F0242" w:rsidP="00717082">
          <w:pPr>
            <w:pStyle w:val="ListParagraph"/>
            <w:numPr>
              <w:ilvl w:val="0"/>
              <w:numId w:val="2"/>
            </w:numPr>
            <w:spacing w:line="360" w:lineRule="auto"/>
            <w:ind w:right="0"/>
          </w:pPr>
          <w:r w:rsidRPr="001532A7">
            <w:t>information about the session (e.g., service type, contact and non-contact hours, referrals).</w:t>
          </w:r>
        </w:p>
        <w:p w14:paraId="55E435B6" w14:textId="77777777" w:rsidR="009F0242" w:rsidRPr="001532A7" w:rsidRDefault="009F0242" w:rsidP="009F0242">
          <w:pPr>
            <w:rPr>
              <w:lang w:eastAsia="en-AU"/>
            </w:rPr>
          </w:pPr>
          <w:r w:rsidRPr="001532A7">
            <w:rPr>
              <w:lang w:eastAsia="en-AU"/>
            </w:rPr>
            <w:t xml:space="preserve">These details are entered into Holly at all stages of the client journey: at intake, by the practitioner while support is </w:t>
          </w:r>
          <w:r>
            <w:rPr>
              <w:lang w:eastAsia="en-AU"/>
            </w:rPr>
            <w:t>provided</w:t>
          </w:r>
          <w:r w:rsidRPr="001532A7">
            <w:rPr>
              <w:lang w:eastAsia="en-AU"/>
            </w:rPr>
            <w:t>, and when support finishes.</w:t>
          </w:r>
        </w:p>
        <w:p w14:paraId="2EED7437" w14:textId="1BE6D470" w:rsidR="009F0242" w:rsidRDefault="009F0242" w:rsidP="009F0242">
          <w:pPr>
            <w:pStyle w:val="Heading3"/>
          </w:pPr>
          <w:r>
            <w:t xml:space="preserve">Ethical </w:t>
          </w:r>
          <w:r w:rsidR="00A01281">
            <w:t>c</w:t>
          </w:r>
          <w:r>
            <w:t>onsiderations</w:t>
          </w:r>
        </w:p>
        <w:p w14:paraId="66902770" w14:textId="77777777" w:rsidR="009F0242" w:rsidRDefault="009F0242" w:rsidP="009F0242">
          <w:r>
            <w:t xml:space="preserve">In developing their case studies, each organisation analysed, aggregated and de-identified data from their own CRM systems, with data analysis support provided by CFRE. No identifiable data was shared between organisations, nor is any data presented in this report identifiable in any way. </w:t>
          </w:r>
        </w:p>
        <w:p w14:paraId="4345DC23" w14:textId="77777777" w:rsidR="009F0242" w:rsidRDefault="009F0242" w:rsidP="009F0242">
          <w:pPr>
            <w:pStyle w:val="Heading3"/>
          </w:pPr>
          <w:r>
            <w:t>Limitations</w:t>
          </w:r>
        </w:p>
        <w:p w14:paraId="6A1B0C7E" w14:textId="77777777" w:rsidR="009F0242" w:rsidRDefault="009F0242" w:rsidP="009F0242">
          <w:r>
            <w:t xml:space="preserve">An important caveat for interpreting the results presented in this report is knowing the limitations of the data. It is expected that most fields underestimate presenting issues, where rates of co-occurring needs are ascertained from CRM systems (rather than by surveying clients' needs). The data captured reflects what was </w:t>
          </w:r>
          <w:r w:rsidRPr="00F90719">
            <w:rPr>
              <w:i/>
            </w:rPr>
            <w:t>recorded</w:t>
          </w:r>
          <w:r>
            <w:t xml:space="preserve"> for all clients, not necessarily what all clients </w:t>
          </w:r>
          <w:r w:rsidRPr="00F90719">
            <w:rPr>
              <w:i/>
            </w:rPr>
            <w:t>experienced</w:t>
          </w:r>
          <w:r>
            <w:t xml:space="preserve">. </w:t>
          </w:r>
          <w:r w:rsidRPr="004650A1">
            <w:t>Individual practitioners make different choices about how to enter data. This should be kept in mind when considering the variations in the data presented here. We have noted where data integrity clearly influenced the analysis.</w:t>
          </w:r>
        </w:p>
        <w:p w14:paraId="2ABB3F8D" w14:textId="77777777" w:rsidR="009F0242" w:rsidRDefault="009F0242" w:rsidP="009F0242">
          <w:r>
            <w:t>The results demonstrate gaps – as well as areas of strength – across all three organisations in terms of capturing accurate and detailed data.</w:t>
          </w:r>
        </w:p>
        <w:p w14:paraId="6C81CEC6" w14:textId="7D9E9FD0" w:rsidR="009F0242" w:rsidRDefault="009F0242" w:rsidP="009F0242">
          <w:pPr>
            <w:pStyle w:val="Heading3"/>
          </w:pPr>
          <w:r>
            <w:t xml:space="preserve">Abbreviations and </w:t>
          </w:r>
          <w:r w:rsidR="001F4E95">
            <w:t>t</w:t>
          </w:r>
          <w:r>
            <w:t>erminology</w:t>
          </w:r>
        </w:p>
        <w:p w14:paraId="3F4C0E5A" w14:textId="6763B68D" w:rsidR="00C73818" w:rsidRDefault="00C73818" w:rsidP="00717082">
          <w:pPr>
            <w:pStyle w:val="ListParagraph"/>
            <w:numPr>
              <w:ilvl w:val="0"/>
              <w:numId w:val="7"/>
            </w:numPr>
          </w:pPr>
          <w:r w:rsidRPr="001E7DB9">
            <w:rPr>
              <w:b/>
              <w:bCs/>
            </w:rPr>
            <w:t>AIFS</w:t>
          </w:r>
          <w:r w:rsidR="001E7DB9">
            <w:t xml:space="preserve"> is the </w:t>
          </w:r>
          <w:r>
            <w:t>Australian Institute of Family Studies</w:t>
          </w:r>
          <w:r w:rsidR="007178CD">
            <w:t>.</w:t>
          </w:r>
        </w:p>
        <w:p w14:paraId="63CF5D19" w14:textId="5B03FD58" w:rsidR="00C73818" w:rsidRDefault="00C73818" w:rsidP="00717082">
          <w:pPr>
            <w:pStyle w:val="ListParagraph"/>
            <w:numPr>
              <w:ilvl w:val="0"/>
              <w:numId w:val="7"/>
            </w:numPr>
          </w:pPr>
          <w:r w:rsidRPr="001E7DB9">
            <w:rPr>
              <w:b/>
              <w:bCs/>
            </w:rPr>
            <w:t>AOD</w:t>
          </w:r>
          <w:r w:rsidR="001E7DB9">
            <w:t xml:space="preserve"> means a</w:t>
          </w:r>
          <w:r>
            <w:t>lcohol and other drugs</w:t>
          </w:r>
          <w:r w:rsidR="007178CD">
            <w:t>.</w:t>
          </w:r>
        </w:p>
        <w:p w14:paraId="25337016" w14:textId="5EE5E676" w:rsidR="00C73818" w:rsidRDefault="00C73818" w:rsidP="00717082">
          <w:pPr>
            <w:pStyle w:val="ListParagraph"/>
            <w:numPr>
              <w:ilvl w:val="0"/>
              <w:numId w:val="7"/>
            </w:numPr>
          </w:pPr>
          <w:r w:rsidRPr="001E7DB9">
            <w:rPr>
              <w:b/>
              <w:bCs/>
            </w:rPr>
            <w:t>CFRE</w:t>
          </w:r>
          <w:r w:rsidR="001E7DB9">
            <w:t xml:space="preserve"> is the </w:t>
          </w:r>
          <w:r>
            <w:t>Centre for Family Research and Evaluation</w:t>
          </w:r>
          <w:r w:rsidR="007178CD">
            <w:t>.</w:t>
          </w:r>
        </w:p>
        <w:p w14:paraId="415FB3F7" w14:textId="6D75A44E" w:rsidR="00C73818" w:rsidRDefault="00C73818" w:rsidP="00717082">
          <w:pPr>
            <w:pStyle w:val="ListParagraph"/>
            <w:numPr>
              <w:ilvl w:val="0"/>
              <w:numId w:val="7"/>
            </w:numPr>
          </w:pPr>
          <w:r w:rsidRPr="001E7DB9">
            <w:rPr>
              <w:b/>
              <w:bCs/>
            </w:rPr>
            <w:t>CIJ</w:t>
          </w:r>
          <w:r w:rsidR="001E7DB9">
            <w:t xml:space="preserve"> means RMIT University’s </w:t>
          </w:r>
          <w:r>
            <w:t>Centre for Innovative Justice</w:t>
          </w:r>
          <w:r w:rsidR="007178CD">
            <w:t>.</w:t>
          </w:r>
        </w:p>
        <w:p w14:paraId="0F87D882" w14:textId="32F4C5F6" w:rsidR="00C73818" w:rsidRDefault="00C73818" w:rsidP="00717082">
          <w:pPr>
            <w:pStyle w:val="ListParagraph"/>
            <w:numPr>
              <w:ilvl w:val="0"/>
              <w:numId w:val="7"/>
            </w:numPr>
          </w:pPr>
          <w:r w:rsidRPr="001E7DB9">
            <w:rPr>
              <w:b/>
              <w:bCs/>
            </w:rPr>
            <w:t>COVID-19</w:t>
          </w:r>
          <w:r w:rsidR="001E7DB9">
            <w:t xml:space="preserve"> means the c</w:t>
          </w:r>
          <w:r>
            <w:t>oronavirus disease of 2019</w:t>
          </w:r>
          <w:r w:rsidR="007178CD">
            <w:t>.</w:t>
          </w:r>
        </w:p>
        <w:p w14:paraId="6989BB88" w14:textId="3E7C885E" w:rsidR="00C73818" w:rsidRDefault="00C73818" w:rsidP="00717082">
          <w:pPr>
            <w:pStyle w:val="ListParagraph"/>
            <w:numPr>
              <w:ilvl w:val="0"/>
              <w:numId w:val="7"/>
            </w:numPr>
          </w:pPr>
          <w:r w:rsidRPr="001E7DB9">
            <w:rPr>
              <w:b/>
              <w:bCs/>
            </w:rPr>
            <w:lastRenderedPageBreak/>
            <w:t>CRM system</w:t>
          </w:r>
          <w:r w:rsidR="001E7DB9">
            <w:t xml:space="preserve"> means a c</w:t>
          </w:r>
          <w:r>
            <w:t>lient record management system</w:t>
          </w:r>
          <w:r w:rsidR="007178CD">
            <w:t>.</w:t>
          </w:r>
        </w:p>
        <w:p w14:paraId="5CEB9FBD" w14:textId="39200137" w:rsidR="00494D52" w:rsidRDefault="00C73818" w:rsidP="00717082">
          <w:pPr>
            <w:pStyle w:val="ListParagraph"/>
            <w:numPr>
              <w:ilvl w:val="0"/>
              <w:numId w:val="7"/>
            </w:numPr>
          </w:pPr>
          <w:r w:rsidRPr="001E7DB9">
            <w:rPr>
              <w:b/>
              <w:bCs/>
            </w:rPr>
            <w:t>During COVID-19</w:t>
          </w:r>
          <w:r w:rsidR="001E7DB9">
            <w:t xml:space="preserve"> is t</w:t>
          </w:r>
          <w:r>
            <w:t xml:space="preserve">he period from </w:t>
          </w:r>
          <w:r w:rsidR="00494D52">
            <w:t>1 April 2020 to 30 September 2021.</w:t>
          </w:r>
        </w:p>
        <w:p w14:paraId="0D0E6E62" w14:textId="77777777" w:rsidR="007178CD" w:rsidRDefault="00C73818" w:rsidP="00717082">
          <w:pPr>
            <w:pStyle w:val="ListParagraph"/>
            <w:numPr>
              <w:ilvl w:val="0"/>
              <w:numId w:val="7"/>
            </w:numPr>
          </w:pPr>
          <w:r w:rsidRPr="007178CD">
            <w:rPr>
              <w:b/>
              <w:bCs/>
            </w:rPr>
            <w:t>LGBTIQ+</w:t>
          </w:r>
          <w:r w:rsidR="001E7DB9">
            <w:t xml:space="preserve"> </w:t>
          </w:r>
          <w:r w:rsidR="007178CD">
            <w:t>means l</w:t>
          </w:r>
          <w:r>
            <w:t>esbian, gay, bisexual, trans and gender diverse, intersex, queer and questioning</w:t>
          </w:r>
          <w:r w:rsidR="007178CD">
            <w:t xml:space="preserve"> people. </w:t>
          </w:r>
          <w:r>
            <w:t>We use this term broadly and inclusively, and acknowledge the diversity of sexualities, genders and sex characteristics.</w:t>
          </w:r>
        </w:p>
        <w:p w14:paraId="6EF1B461" w14:textId="49DA18CE" w:rsidR="00C73818" w:rsidRDefault="00C73818" w:rsidP="00717082">
          <w:pPr>
            <w:pStyle w:val="ListParagraph"/>
            <w:numPr>
              <w:ilvl w:val="1"/>
              <w:numId w:val="7"/>
            </w:numPr>
          </w:pPr>
          <w:r>
            <w:t xml:space="preserve">In some instances, we use </w:t>
          </w:r>
          <w:r w:rsidRPr="007178CD">
            <w:rPr>
              <w:b/>
              <w:bCs/>
            </w:rPr>
            <w:t>LGBQ+</w:t>
          </w:r>
          <w:r>
            <w:t xml:space="preserve"> to refer only to non-heterosexual clients.</w:t>
          </w:r>
        </w:p>
        <w:p w14:paraId="1BCEEC52" w14:textId="77777777" w:rsidR="00494D52" w:rsidRDefault="00C73818" w:rsidP="00717082">
          <w:pPr>
            <w:pStyle w:val="ListParagraph"/>
            <w:numPr>
              <w:ilvl w:val="0"/>
              <w:numId w:val="7"/>
            </w:numPr>
          </w:pPr>
          <w:r w:rsidRPr="007178CD">
            <w:rPr>
              <w:b/>
              <w:bCs/>
            </w:rPr>
            <w:t>MARAM</w:t>
          </w:r>
          <w:r w:rsidR="007178CD">
            <w:t xml:space="preserve"> means the </w:t>
          </w:r>
          <w:r>
            <w:t>Family Violence Multi-Agency Risk Assessment and Management</w:t>
          </w:r>
          <w:r w:rsidR="007178CD">
            <w:t>.</w:t>
          </w:r>
        </w:p>
        <w:p w14:paraId="62500EB1" w14:textId="0D76A61A" w:rsidR="00C73818" w:rsidRDefault="00C73818" w:rsidP="00717082">
          <w:pPr>
            <w:pStyle w:val="ListParagraph"/>
            <w:numPr>
              <w:ilvl w:val="0"/>
              <w:numId w:val="7"/>
            </w:numPr>
          </w:pPr>
          <w:r w:rsidRPr="00494D52">
            <w:rPr>
              <w:b/>
              <w:bCs/>
            </w:rPr>
            <w:t>Prior to COVID-19</w:t>
          </w:r>
          <w:r w:rsidR="007178CD">
            <w:t xml:space="preserve"> is t</w:t>
          </w:r>
          <w:r>
            <w:t xml:space="preserve">he period from </w:t>
          </w:r>
          <w:r w:rsidR="00494D52">
            <w:t>1 April 2018 to 30 September 2019.</w:t>
          </w:r>
        </w:p>
        <w:p w14:paraId="7210E3B4" w14:textId="1717F358" w:rsidR="00C73818" w:rsidRPr="00C73818" w:rsidRDefault="00C73818" w:rsidP="00717082">
          <w:pPr>
            <w:pStyle w:val="ListParagraph"/>
            <w:numPr>
              <w:ilvl w:val="0"/>
              <w:numId w:val="7"/>
            </w:numPr>
          </w:pPr>
          <w:r w:rsidRPr="007178CD">
            <w:rPr>
              <w:b/>
              <w:bCs/>
            </w:rPr>
            <w:t>SHIP</w:t>
          </w:r>
          <w:r w:rsidR="007178CD">
            <w:t xml:space="preserve"> is the </w:t>
          </w:r>
          <w:r>
            <w:t>Specialist Homelessness Information Platform</w:t>
          </w:r>
          <w:r w:rsidR="007178CD">
            <w:t>.</w:t>
          </w:r>
        </w:p>
        <w:p w14:paraId="0CDF3084" w14:textId="77777777" w:rsidR="00BC6C68" w:rsidRDefault="00BC6C68">
          <w:pPr>
            <w:spacing w:line="259" w:lineRule="auto"/>
            <w:rPr>
              <w:rFonts w:cs="Calibri"/>
              <w:kern w:val="24"/>
              <w:szCs w:val="22"/>
              <w:lang w:eastAsia="en-AU"/>
            </w:rPr>
          </w:pPr>
          <w:r>
            <w:br w:type="page"/>
          </w:r>
        </w:p>
        <w:p w14:paraId="60EF16BC" w14:textId="26DAB4C1" w:rsidR="00BC6C68" w:rsidRDefault="00BC6C68" w:rsidP="00BC6C68">
          <w:pPr>
            <w:pStyle w:val="Heading1"/>
          </w:pPr>
          <w:bookmarkStart w:id="8" w:name="_Toc95734876"/>
          <w:bookmarkStart w:id="9" w:name="_Toc98760925"/>
          <w:r>
            <w:lastRenderedPageBreak/>
            <w:t xml:space="preserve">Summary of </w:t>
          </w:r>
          <w:r w:rsidR="00B8572D">
            <w:t>f</w:t>
          </w:r>
          <w:r>
            <w:t xml:space="preserve">indings </w:t>
          </w:r>
          <w:r w:rsidR="00B8572D">
            <w:t>a</w:t>
          </w:r>
          <w:r w:rsidRPr="00920BC9">
            <w:t xml:space="preserve">cross the </w:t>
          </w:r>
          <w:r w:rsidR="00B8572D">
            <w:t>t</w:t>
          </w:r>
          <w:r w:rsidRPr="00920BC9">
            <w:t xml:space="preserve">hree </w:t>
          </w:r>
          <w:r w:rsidR="00B8572D">
            <w:t>o</w:t>
          </w:r>
          <w:r w:rsidRPr="00920BC9">
            <w:t>rganisations</w:t>
          </w:r>
          <w:bookmarkEnd w:id="8"/>
          <w:bookmarkEnd w:id="9"/>
        </w:p>
        <w:p w14:paraId="02AD1444" w14:textId="77777777" w:rsidR="00DB3A42" w:rsidRDefault="00BC6C68" w:rsidP="00BC6C68">
          <w:r w:rsidRPr="00E15A13">
            <w:t>The aim of the organisational case studies was to help understand changing client needs and service access in COVID-19. Input of data fields varied across the organisations and not all fields aligned perfectly. However, the data helped to answer the following questions:</w:t>
          </w:r>
        </w:p>
        <w:p w14:paraId="7EFE0203" w14:textId="77777777" w:rsidR="00DB3A42" w:rsidRDefault="00BC6C68" w:rsidP="00717082">
          <w:pPr>
            <w:pStyle w:val="ListParagraph"/>
            <w:numPr>
              <w:ilvl w:val="0"/>
              <w:numId w:val="103"/>
            </w:numPr>
          </w:pPr>
          <w:r>
            <w:t>How did people access services during COVID-19?</w:t>
          </w:r>
        </w:p>
        <w:p w14:paraId="2465F68C" w14:textId="4CC00EA1" w:rsidR="00DB3A42" w:rsidRDefault="00BC6C68" w:rsidP="00717082">
          <w:pPr>
            <w:pStyle w:val="ListParagraph"/>
            <w:numPr>
              <w:ilvl w:val="0"/>
              <w:numId w:val="103"/>
            </w:numPr>
          </w:pPr>
          <w:r>
            <w:t>What were client needs during COVID-19?</w:t>
          </w:r>
        </w:p>
        <w:p w14:paraId="4F482481" w14:textId="407A06DC" w:rsidR="00BC6C68" w:rsidRDefault="00BC6C68" w:rsidP="00BC6C68">
          <w:r>
            <w:t xml:space="preserve">The case studies explore these questions in great detail and provide rich insight into each of the organisations and the presentation and risk of family violence during COVID-19. </w:t>
          </w:r>
        </w:p>
        <w:p w14:paraId="1DAD4C85" w14:textId="77777777" w:rsidR="00BC6C68" w:rsidRDefault="00BC6C68" w:rsidP="00BC6C68">
          <w:pPr>
            <w:pStyle w:val="Heading2"/>
          </w:pPr>
          <w:bookmarkStart w:id="10" w:name="_Toc98760926"/>
          <w:r>
            <w:t>How did people access services during COVID-19?</w:t>
          </w:r>
          <w:bookmarkEnd w:id="10"/>
        </w:p>
        <w:p w14:paraId="1C5D5420" w14:textId="77777777" w:rsidR="00BC6C68" w:rsidRDefault="00BC6C68" w:rsidP="00BC6C68">
          <w:r>
            <w:t xml:space="preserve">Across all organisations there was an </w:t>
          </w:r>
          <w:r w:rsidRPr="00DB3A42">
            <w:rPr>
              <w:rFonts w:asciiTheme="majorHAnsi" w:hAnsiTheme="majorHAnsi"/>
              <w:b/>
              <w:bCs/>
            </w:rPr>
            <w:t>increase in brokerage</w:t>
          </w:r>
          <w:r>
            <w:t xml:space="preserve"> during COVID-19, which helped meet emergency needs for clients experiencing family violence. </w:t>
          </w:r>
          <w:r w:rsidRPr="00060CA4">
            <w:t>Both Drummond Street and Good Shepherd saw increased service access or referral</w:t>
          </w:r>
          <w:r>
            <w:t>s</w:t>
          </w:r>
          <w:r w:rsidRPr="00060CA4">
            <w:t xml:space="preserve"> for material aid. All organisations had an increase in brokerage available.</w:t>
          </w:r>
        </w:p>
        <w:p w14:paraId="4370FFE1" w14:textId="77777777" w:rsidR="00BC6C68" w:rsidRDefault="00BC6C68" w:rsidP="00BC6C68">
          <w:r>
            <w:t>As each organisation faced lockdowns</w:t>
          </w:r>
          <w:r>
            <w:rPr>
              <w:rFonts w:asciiTheme="majorHAnsi" w:hAnsiTheme="majorHAnsi"/>
            </w:rPr>
            <w:t>,</w:t>
          </w:r>
          <w:r w:rsidRPr="0011050B">
            <w:rPr>
              <w:rFonts w:asciiTheme="majorHAnsi" w:hAnsiTheme="majorHAnsi"/>
            </w:rPr>
            <w:t xml:space="preserve"> </w:t>
          </w:r>
          <w:r w:rsidRPr="00DB3A42">
            <w:rPr>
              <w:rFonts w:asciiTheme="majorHAnsi" w:hAnsiTheme="majorHAnsi"/>
              <w:b/>
              <w:bCs/>
            </w:rPr>
            <w:t>services moved online and outreach services increased</w:t>
          </w:r>
          <w:r>
            <w:t xml:space="preserve">. Drummond Street, for example, saw outreach increase during COVID-19 by 4 times as many clients. </w:t>
          </w:r>
        </w:p>
        <w:p w14:paraId="611533AD" w14:textId="77777777" w:rsidR="00BC6C68" w:rsidRDefault="00BC6C68" w:rsidP="00BC6C68">
          <w:r>
            <w:t xml:space="preserve">Overall, there was an </w:t>
          </w:r>
          <w:r w:rsidRPr="00133DE5">
            <w:rPr>
              <w:rFonts w:asciiTheme="majorHAnsi" w:hAnsiTheme="majorHAnsi"/>
              <w:b/>
              <w:bCs/>
            </w:rPr>
            <w:t>increase in clients accessing family violence services</w:t>
          </w:r>
          <w:r>
            <w:t xml:space="preserve">, where GenWest saw a 16% increase in family violence service access and Good Shepherd saw a 51% increase in clients receiving family violence case management. Although </w:t>
          </w:r>
          <w:r w:rsidDel="00A2776F">
            <w:t>D</w:t>
          </w:r>
          <w:r>
            <w:t xml:space="preserve">rummond Street clients experiencing family violence remained consistent, the percentage of clients seeking assistance for personal and family safety increased by about 150%. </w:t>
          </w:r>
        </w:p>
        <w:p w14:paraId="056C64FE" w14:textId="77777777" w:rsidR="00BC6C68" w:rsidRDefault="00BC6C68" w:rsidP="00BC6C68">
          <w:r>
            <w:t xml:space="preserve">During COVID-19 </w:t>
          </w:r>
          <w:r w:rsidRPr="00133DE5">
            <w:rPr>
              <w:rFonts w:asciiTheme="majorHAnsi" w:hAnsiTheme="majorHAnsi"/>
              <w:b/>
              <w:bCs/>
            </w:rPr>
            <w:t>clients were engaged for longer or for more hours</w:t>
          </w:r>
          <w:r>
            <w:t>. Good Shepherd saw an increase in contact hours – the average amount of contact hours per Good Shepherd client rose from 48 to 72 hours – and Drummond Street’s non-contact hours almost doubled.</w:t>
          </w:r>
        </w:p>
        <w:p w14:paraId="4E43B8DE" w14:textId="7F1BEBCF" w:rsidR="00C73818" w:rsidRPr="00C73818" w:rsidRDefault="00BC6C68" w:rsidP="00133DE5">
          <w:r>
            <w:t xml:space="preserve">Across all three organisations there was a low number of older clients (aged </w:t>
          </w:r>
          <w:r w:rsidRPr="006C7A41">
            <w:t>over 55 years)</w:t>
          </w:r>
          <w:r>
            <w:t xml:space="preserve"> engaged in services. Understanding where older people experiencing or at </w:t>
          </w:r>
          <w:r>
            <w:lastRenderedPageBreak/>
            <w:t xml:space="preserve">risk of family violence are seeking service support should be an important area for future enquiry during the remainder of the </w:t>
          </w:r>
          <w:r w:rsidRPr="006C7A41">
            <w:rPr>
              <w:i/>
              <w:iCs/>
            </w:rPr>
            <w:t>Future-proofing Safety</w:t>
          </w:r>
          <w:r>
            <w:t xml:space="preserve"> project.</w:t>
          </w:r>
        </w:p>
        <w:p w14:paraId="35D048F2" w14:textId="77777777" w:rsidR="00EC6ECF" w:rsidRDefault="00EC6ECF" w:rsidP="00EC6ECF">
          <w:pPr>
            <w:pStyle w:val="Heading2"/>
          </w:pPr>
          <w:bookmarkStart w:id="11" w:name="_Toc98760927"/>
          <w:r>
            <w:t>What were client needs during COVID-19?</w:t>
          </w:r>
          <w:bookmarkEnd w:id="11"/>
        </w:p>
        <w:p w14:paraId="128B33B3" w14:textId="77777777" w:rsidR="00EC6ECF" w:rsidRDefault="00EC6ECF" w:rsidP="00EC6ECF">
          <w:r>
            <w:t xml:space="preserve">Overall, the available data demonstrated an increased intensity of risk, particularly with </w:t>
          </w:r>
          <w:r w:rsidRPr="008538BA">
            <w:rPr>
              <w:rFonts w:asciiTheme="majorHAnsi" w:hAnsiTheme="majorHAnsi"/>
              <w:b/>
              <w:bCs/>
            </w:rPr>
            <w:t>mental health needs</w:t>
          </w:r>
          <w:r>
            <w:t xml:space="preserve">. Drummond Street saw a substantial increase in mental health risk, including suicidality risk and self-harm risk by 70%, drug and alcohol abuse by 38% and a higher rate of intensive support provided. GenWest saw an increase in mental health needs and referrals from mental health services, from 12% to 29%. Clients also experienced an increased </w:t>
          </w:r>
          <w:r w:rsidRPr="008538BA">
            <w:rPr>
              <w:rFonts w:asciiTheme="majorHAnsi" w:hAnsiTheme="majorHAnsi"/>
              <w:b/>
              <w:bCs/>
            </w:rPr>
            <w:t>risk of homelessness</w:t>
          </w:r>
          <w:r>
            <w:t xml:space="preserve">. At GenWest the proportion of clients who reported risk of homelessness increased by 22.6%, and at Drummond Street the risk of homelessness increased by 30%. </w:t>
          </w:r>
        </w:p>
        <w:p w14:paraId="014B0DF5" w14:textId="77777777" w:rsidR="00EC6ECF" w:rsidRDefault="00EC6ECF" w:rsidP="00EC6ECF">
          <w:r>
            <w:t xml:space="preserve">The demographic data demonstrated </w:t>
          </w:r>
          <w:r w:rsidRPr="00192FA8">
            <w:t xml:space="preserve">complex experiences of </w:t>
          </w:r>
          <w:r w:rsidRPr="008538BA">
            <w:rPr>
              <w:rFonts w:asciiTheme="majorHAnsi" w:hAnsiTheme="majorHAnsi"/>
              <w:b/>
              <w:bCs/>
            </w:rPr>
            <w:t>increased co-occurring needs with family violence for those belonging to a marginalised group/s</w:t>
          </w:r>
          <w:r>
            <w:t xml:space="preserve">. For example, clients who were from non-English speaking backgrounds had a higher risk of homelessness and higher incidence of financial insecurity. This was similar for single parented households (and even higher if clients belonged to both cohorts). </w:t>
          </w:r>
        </w:p>
        <w:p w14:paraId="37631EC3" w14:textId="77777777" w:rsidR="00EC6ECF" w:rsidRDefault="00EC6ECF" w:rsidP="00EC6ECF">
          <w:r w:rsidRPr="00963AAF">
            <w:t xml:space="preserve">Due to system and government database deficiencies, all three organisations were </w:t>
          </w:r>
          <w:r w:rsidRPr="00836526">
            <w:rPr>
              <w:rFonts w:asciiTheme="majorHAnsi" w:hAnsiTheme="majorHAnsi"/>
              <w:b/>
              <w:bCs/>
            </w:rPr>
            <w:t>unable to report accurately on child needs</w:t>
          </w:r>
          <w:r w:rsidRPr="00963AAF">
            <w:t xml:space="preserve">, instead largely capturing the needs of the parent seeking support, with children ‘attached’ to a family case. </w:t>
          </w:r>
        </w:p>
        <w:p w14:paraId="709FDF80" w14:textId="15F3CB1A" w:rsidR="00836526" w:rsidRDefault="00EC6ECF" w:rsidP="00EC6ECF">
          <w:r>
            <w:t>The individual case studies explore these questions in greater detail as well as highlight some unique experiences to clients at each organisation.</w:t>
          </w:r>
        </w:p>
        <w:p w14:paraId="1B62DCD2" w14:textId="77777777" w:rsidR="00972F03" w:rsidRDefault="00972F03">
          <w:pPr>
            <w:spacing w:line="259" w:lineRule="auto"/>
            <w:sectPr w:rsidR="00972F03" w:rsidSect="00961F25">
              <w:headerReference w:type="default" r:id="rId19"/>
              <w:type w:val="continuous"/>
              <w:pgSz w:w="11906" w:h="16838"/>
              <w:pgMar w:top="1803" w:right="1440" w:bottom="1440" w:left="1440" w:header="709" w:footer="709" w:gutter="0"/>
              <w:pgNumType w:start="0"/>
              <w:cols w:space="708"/>
              <w:titlePg/>
              <w:docGrid w:linePitch="360"/>
            </w:sectPr>
          </w:pPr>
        </w:p>
        <w:p w14:paraId="40890DE4" w14:textId="66AD1B47" w:rsidR="00E46929" w:rsidRDefault="00E46929" w:rsidP="00E46929">
          <w:pPr>
            <w:pStyle w:val="Heading1"/>
          </w:pPr>
          <w:bookmarkStart w:id="12" w:name="_Toc98760928"/>
          <w:r>
            <w:lastRenderedPageBreak/>
            <w:t xml:space="preserve">Case </w:t>
          </w:r>
          <w:r w:rsidR="00076562">
            <w:t>s</w:t>
          </w:r>
          <w:r>
            <w:t>tudy: Drummond Street Services</w:t>
          </w:r>
          <w:bookmarkEnd w:id="12"/>
        </w:p>
        <w:p w14:paraId="64E6A8AF" w14:textId="7871BCB4" w:rsidR="00E46929" w:rsidRDefault="00E46929" w:rsidP="00E46929">
          <w:pPr>
            <w:pStyle w:val="Heading2"/>
          </w:pPr>
          <w:bookmarkStart w:id="13" w:name="_Toc95734878"/>
          <w:bookmarkStart w:id="14" w:name="_Toc98760929"/>
          <w:r>
            <w:t xml:space="preserve">About </w:t>
          </w:r>
          <w:r w:rsidR="00EE2D23">
            <w:t>s</w:t>
          </w:r>
          <w:r>
            <w:t xml:space="preserve">ervice </w:t>
          </w:r>
          <w:r w:rsidR="00EE2D23">
            <w:t>d</w:t>
          </w:r>
          <w:r>
            <w:t>elivery</w:t>
          </w:r>
          <w:bookmarkEnd w:id="13"/>
          <w:bookmarkEnd w:id="14"/>
        </w:p>
        <w:p w14:paraId="0E21DAAA" w14:textId="77777777" w:rsidR="006B50D3" w:rsidRDefault="006B50D3" w:rsidP="006B50D3">
          <w:r>
            <w:t>Drummond Street Services is a not-for-profit community service organisation that provides a breadth of support for individuals, families, and the broader community. Over the time period of this case study (2018 to 2021), Drummond Street provided clients with a broad range of services where family violence was a key presentation, including:</w:t>
          </w:r>
        </w:p>
        <w:p w14:paraId="43CE7410" w14:textId="77777777" w:rsidR="006B50D3" w:rsidRPr="00CB4285" w:rsidRDefault="006B50D3" w:rsidP="00717082">
          <w:pPr>
            <w:pStyle w:val="ListParagraph"/>
            <w:numPr>
              <w:ilvl w:val="0"/>
              <w:numId w:val="8"/>
            </w:numPr>
          </w:pPr>
          <w:r w:rsidRPr="00132BA7">
            <w:rPr>
              <w:b/>
              <w:bCs/>
            </w:rPr>
            <w:t>Family and Community Services (FACS) programs</w:t>
          </w:r>
          <w:r w:rsidRPr="00CB4285">
            <w:t xml:space="preserve"> – including Family Mental Health Support Services (FMHSS), Family and Relationship Services (FARS) and Family Law Counselling services.</w:t>
          </w:r>
        </w:p>
        <w:p w14:paraId="62476E84" w14:textId="77777777" w:rsidR="006B50D3" w:rsidRPr="00CB4285" w:rsidRDefault="006B50D3" w:rsidP="00717082">
          <w:pPr>
            <w:pStyle w:val="ListParagraph"/>
            <w:numPr>
              <w:ilvl w:val="0"/>
              <w:numId w:val="8"/>
            </w:numPr>
          </w:pPr>
          <w:r w:rsidRPr="00132BA7">
            <w:rPr>
              <w:b/>
              <w:bCs/>
            </w:rPr>
            <w:t>Ready Steady Family!</w:t>
          </w:r>
          <w:r w:rsidRPr="00CB4285">
            <w:t xml:space="preserve"> – supporting new parents during the transition to parenthood. The program includes counselling support, parent coaching, groups and seminars and case management support.</w:t>
          </w:r>
        </w:p>
        <w:p w14:paraId="69679C96" w14:textId="77777777" w:rsidR="006B50D3" w:rsidRPr="00CB4285" w:rsidRDefault="006B50D3" w:rsidP="00717082">
          <w:pPr>
            <w:pStyle w:val="ListParagraph"/>
            <w:numPr>
              <w:ilvl w:val="0"/>
              <w:numId w:val="8"/>
            </w:numPr>
          </w:pPr>
          <w:r w:rsidRPr="00132BA7">
            <w:rPr>
              <w:b/>
              <w:bCs/>
            </w:rPr>
            <w:t>w-respect LGBTIQ+ specialist family violence service</w:t>
          </w:r>
          <w:r w:rsidRPr="00CB4285">
            <w:t xml:space="preserve"> – including prevention, early intervention, tertiary responses, and recovery (psychosocial) services for LGBTIQ+ people and their families experiencing or using violence. </w:t>
          </w:r>
        </w:p>
        <w:p w14:paraId="46EF1024" w14:textId="77777777" w:rsidR="006B50D3" w:rsidRPr="00CB4285" w:rsidRDefault="006B50D3" w:rsidP="00717082">
          <w:pPr>
            <w:pStyle w:val="ListParagraph"/>
            <w:numPr>
              <w:ilvl w:val="0"/>
              <w:numId w:val="8"/>
            </w:numPr>
          </w:pPr>
          <w:r w:rsidRPr="00132BA7">
            <w:rPr>
              <w:b/>
              <w:bCs/>
            </w:rPr>
            <w:t>Living Free from Violence/Futures Free from Violence</w:t>
          </w:r>
          <w:r w:rsidRPr="00CB4285">
            <w:t xml:space="preserve"> – providing therapeutic individual and group support for women and trans and gender diverse people using force or violence. The programs are both community and justice facing.</w:t>
          </w:r>
        </w:p>
        <w:p w14:paraId="5C4B1343" w14:textId="77777777" w:rsidR="006B50D3" w:rsidRPr="00CB4285" w:rsidRDefault="006B50D3" w:rsidP="00717082">
          <w:pPr>
            <w:pStyle w:val="ListParagraph"/>
            <w:numPr>
              <w:ilvl w:val="0"/>
              <w:numId w:val="8"/>
            </w:numPr>
          </w:pPr>
          <w:r w:rsidRPr="00132BA7">
            <w:rPr>
              <w:b/>
              <w:bCs/>
            </w:rPr>
            <w:t>Young People Family Violence program</w:t>
          </w:r>
          <w:r w:rsidRPr="00CB4285">
            <w:t xml:space="preserve"> – for adolescents using violence within the home and their families. </w:t>
          </w:r>
        </w:p>
        <w:p w14:paraId="472ED78B" w14:textId="77777777" w:rsidR="006B50D3" w:rsidRPr="00CB4285" w:rsidRDefault="006B50D3" w:rsidP="00717082">
          <w:pPr>
            <w:pStyle w:val="ListParagraph"/>
            <w:numPr>
              <w:ilvl w:val="0"/>
              <w:numId w:val="8"/>
            </w:numPr>
          </w:pPr>
          <w:r w:rsidRPr="00132BA7">
            <w:rPr>
              <w:b/>
              <w:bCs/>
            </w:rPr>
            <w:t>The Drum</w:t>
          </w:r>
          <w:r w:rsidRPr="00CB4285">
            <w:t xml:space="preserve"> – specialist youth services delivered by and for young people. The Drum operates out of the City of Melbourne and City of Yarra, doing extensive work on the North Melbourne, Flemington, Richmond and Collingwood housing estates. It also provides specialist support for sex and gender diverse young people through Queerspace Youth and the Invisible program for QTPoC (Queer and Trans People of Colour) young people.</w:t>
          </w:r>
        </w:p>
        <w:p w14:paraId="6B0FC00B" w14:textId="77777777" w:rsidR="006B50D3" w:rsidRPr="00CB4285" w:rsidRDefault="006B50D3" w:rsidP="00717082">
          <w:pPr>
            <w:pStyle w:val="ListParagraph"/>
            <w:numPr>
              <w:ilvl w:val="0"/>
              <w:numId w:val="8"/>
            </w:numPr>
          </w:pPr>
          <w:r w:rsidRPr="00132BA7">
            <w:rPr>
              <w:b/>
              <w:bCs/>
            </w:rPr>
            <w:t>LGBTIQ+ Suicide Prevention Mentoring Programs</w:t>
          </w:r>
          <w:r w:rsidRPr="00CB4285">
            <w:t xml:space="preserve"> – providing individual and family mentoring and peer support for LGBTIQ+ young people at risk of suicide and their families.</w:t>
          </w:r>
        </w:p>
        <w:p w14:paraId="564749F3" w14:textId="77777777" w:rsidR="006B50D3" w:rsidRPr="00CB4285" w:rsidRDefault="006B50D3" w:rsidP="00717082">
          <w:pPr>
            <w:pStyle w:val="ListParagraph"/>
            <w:numPr>
              <w:ilvl w:val="0"/>
              <w:numId w:val="8"/>
            </w:numPr>
          </w:pPr>
          <w:r w:rsidRPr="00132BA7">
            <w:rPr>
              <w:b/>
              <w:bCs/>
            </w:rPr>
            <w:lastRenderedPageBreak/>
            <w:t>Your Way Through</w:t>
          </w:r>
          <w:r w:rsidRPr="00CB4285">
            <w:t xml:space="preserve"> – offering counselling, case management services and support for people affected by the Royal Commission into Violence, Abuse, Neglect and Exploitation of People with Disability and their families.</w:t>
          </w:r>
        </w:p>
        <w:p w14:paraId="07ECD51C" w14:textId="77777777" w:rsidR="006B50D3" w:rsidRPr="00CB4285" w:rsidRDefault="006B50D3" w:rsidP="00717082">
          <w:pPr>
            <w:pStyle w:val="ListParagraph"/>
            <w:numPr>
              <w:ilvl w:val="0"/>
              <w:numId w:val="8"/>
            </w:numPr>
          </w:pPr>
          <w:r w:rsidRPr="00132BA7">
            <w:rPr>
              <w:b/>
              <w:bCs/>
            </w:rPr>
            <w:t>Redress and Restore programs</w:t>
          </w:r>
          <w:r w:rsidRPr="00CB4285">
            <w:t xml:space="preserve"> – supporting survivors of child sexual abuse.</w:t>
          </w:r>
        </w:p>
        <w:p w14:paraId="23B840E1" w14:textId="77777777" w:rsidR="006B50D3" w:rsidRPr="00CB4285" w:rsidRDefault="006B50D3" w:rsidP="00717082">
          <w:pPr>
            <w:pStyle w:val="ListParagraph"/>
            <w:numPr>
              <w:ilvl w:val="0"/>
              <w:numId w:val="8"/>
            </w:numPr>
          </w:pPr>
          <w:r w:rsidRPr="00132BA7">
            <w:rPr>
              <w:b/>
              <w:bCs/>
            </w:rPr>
            <w:t>Targeted Psychological Services (TPS)</w:t>
          </w:r>
          <w:r w:rsidRPr="00CB4285">
            <w:t xml:space="preserve"> </w:t>
          </w:r>
          <w:r w:rsidRPr="00D3724B">
            <w:rPr>
              <w:b/>
              <w:bCs/>
            </w:rPr>
            <w:t>and</w:t>
          </w:r>
          <w:r w:rsidRPr="00CB4285">
            <w:t xml:space="preserve"> </w:t>
          </w:r>
          <w:r w:rsidRPr="00132BA7">
            <w:rPr>
              <w:b/>
              <w:bCs/>
            </w:rPr>
            <w:t>Better Access</w:t>
          </w:r>
          <w:r w:rsidRPr="00CB4285">
            <w:t xml:space="preserve"> – providing allied psychological support services.</w:t>
          </w:r>
        </w:p>
        <w:p w14:paraId="6E9DC9EF" w14:textId="77777777" w:rsidR="006B50D3" w:rsidRPr="00CB4285" w:rsidRDefault="006B50D3" w:rsidP="00717082">
          <w:pPr>
            <w:pStyle w:val="ListParagraph"/>
            <w:numPr>
              <w:ilvl w:val="0"/>
              <w:numId w:val="8"/>
            </w:numPr>
          </w:pPr>
          <w:r w:rsidRPr="00D3724B">
            <w:rPr>
              <w:b/>
              <w:bCs/>
            </w:rPr>
            <w:t>Food Outreach Operations at Drummond Street (FOODS)</w:t>
          </w:r>
          <w:r w:rsidRPr="00CB4285">
            <w:t xml:space="preserve"> – developed during the COVID-19 pandemic to respond to the material needs of clients and vulnerable people within the community.</w:t>
          </w:r>
        </w:p>
        <w:p w14:paraId="7126C75F" w14:textId="524424B7" w:rsidR="00D3724B" w:rsidRDefault="00D3724B" w:rsidP="00D3724B">
          <w:pPr>
            <w:pStyle w:val="Heading3"/>
            <w:rPr>
              <w:shd w:val="clear" w:color="auto" w:fill="FFFFFF"/>
            </w:rPr>
          </w:pPr>
          <w:r>
            <w:rPr>
              <w:shd w:val="clear" w:color="auto" w:fill="FFFFFF"/>
            </w:rPr>
            <w:t>Service delivery area</w:t>
          </w:r>
        </w:p>
        <w:p w14:paraId="2FB41CBF" w14:textId="77777777" w:rsidR="00D3724B" w:rsidRDefault="006B50D3" w:rsidP="006B50D3">
          <w:r>
            <w:rPr>
              <w:shd w:val="clear" w:color="auto" w:fill="FFFFFF"/>
            </w:rPr>
            <w:t>Drummond Street</w:t>
          </w:r>
          <w:r w:rsidRPr="009C54BC">
            <w:rPr>
              <w:shd w:val="clear" w:color="auto" w:fill="FFFFFF"/>
            </w:rPr>
            <w:t xml:space="preserve"> provides services across </w:t>
          </w:r>
          <w:r>
            <w:rPr>
              <w:shd w:val="clear" w:color="auto" w:fill="FFFFFF"/>
            </w:rPr>
            <w:t>eight</w:t>
          </w:r>
          <w:r w:rsidRPr="009C54BC">
            <w:rPr>
              <w:shd w:val="clear" w:color="auto" w:fill="FFFFFF"/>
            </w:rPr>
            <w:t xml:space="preserve"> sites in Victoria</w:t>
          </w:r>
          <w:r>
            <w:rPr>
              <w:shd w:val="clear" w:color="auto" w:fill="FFFFFF"/>
            </w:rPr>
            <w:t>,</w:t>
          </w:r>
          <w:r w:rsidRPr="009C54BC">
            <w:rPr>
              <w:shd w:val="clear" w:color="auto" w:fill="FFFFFF"/>
            </w:rPr>
            <w:t xml:space="preserve"> as well as outreach beyond these suburbs. The site locations include</w:t>
          </w:r>
          <w:r>
            <w:rPr>
              <w:shd w:val="clear" w:color="auto" w:fill="FFFFFF"/>
            </w:rPr>
            <w:t>:</w:t>
          </w:r>
        </w:p>
        <w:p w14:paraId="54227E93" w14:textId="77777777" w:rsidR="00D3724B" w:rsidRPr="00D3724B" w:rsidRDefault="006B50D3" w:rsidP="00717082">
          <w:pPr>
            <w:pStyle w:val="ListParagraph"/>
            <w:numPr>
              <w:ilvl w:val="0"/>
              <w:numId w:val="102"/>
            </w:numPr>
            <w:rPr>
              <w:rStyle w:val="Strong"/>
              <w:b w:val="0"/>
              <w:bCs w:val="0"/>
            </w:rPr>
          </w:pPr>
          <w:r w:rsidRPr="00D3724B">
            <w:rPr>
              <w:rStyle w:val="Strong"/>
              <w:b w:val="0"/>
              <w:color w:val="000000"/>
              <w:bdr w:val="none" w:sz="0" w:space="0" w:color="auto" w:frame="1"/>
              <w:shd w:val="clear" w:color="auto" w:fill="FFFFFF"/>
            </w:rPr>
            <w:t>Carlton</w:t>
          </w:r>
        </w:p>
        <w:p w14:paraId="523CF511" w14:textId="77777777" w:rsidR="00D3724B" w:rsidRPr="00D3724B" w:rsidRDefault="006B50D3" w:rsidP="00717082">
          <w:pPr>
            <w:pStyle w:val="ListParagraph"/>
            <w:numPr>
              <w:ilvl w:val="0"/>
              <w:numId w:val="102"/>
            </w:numPr>
            <w:rPr>
              <w:rStyle w:val="Strong"/>
              <w:b w:val="0"/>
              <w:bCs w:val="0"/>
            </w:rPr>
          </w:pPr>
          <w:r w:rsidRPr="00D3724B">
            <w:rPr>
              <w:rStyle w:val="Strong"/>
              <w:b w:val="0"/>
              <w:color w:val="000000"/>
              <w:bdr w:val="none" w:sz="0" w:space="0" w:color="auto" w:frame="1"/>
              <w:shd w:val="clear" w:color="auto" w:fill="FFFFFF"/>
            </w:rPr>
            <w:t>Coburg</w:t>
          </w:r>
        </w:p>
        <w:p w14:paraId="53958B49" w14:textId="77777777" w:rsidR="00D3724B" w:rsidRPr="00D3724B" w:rsidRDefault="006B50D3" w:rsidP="00717082">
          <w:pPr>
            <w:pStyle w:val="ListParagraph"/>
            <w:numPr>
              <w:ilvl w:val="0"/>
              <w:numId w:val="102"/>
            </w:numPr>
            <w:rPr>
              <w:rStyle w:val="Strong"/>
              <w:b w:val="0"/>
              <w:bCs w:val="0"/>
            </w:rPr>
          </w:pPr>
          <w:r w:rsidRPr="00D3724B">
            <w:rPr>
              <w:rStyle w:val="Strong"/>
              <w:b w:val="0"/>
              <w:color w:val="000000"/>
              <w:bdr w:val="none" w:sz="0" w:space="0" w:color="auto" w:frame="1"/>
              <w:shd w:val="clear" w:color="auto" w:fill="FFFFFF"/>
            </w:rPr>
            <w:t>Collingwood</w:t>
          </w:r>
        </w:p>
        <w:p w14:paraId="4B177026" w14:textId="77777777" w:rsidR="00D3724B" w:rsidRPr="00D3724B" w:rsidRDefault="006B50D3" w:rsidP="00717082">
          <w:pPr>
            <w:pStyle w:val="ListParagraph"/>
            <w:numPr>
              <w:ilvl w:val="0"/>
              <w:numId w:val="102"/>
            </w:numPr>
            <w:rPr>
              <w:rStyle w:val="Strong"/>
              <w:b w:val="0"/>
              <w:bCs w:val="0"/>
            </w:rPr>
          </w:pPr>
          <w:r w:rsidRPr="00D3724B">
            <w:rPr>
              <w:rStyle w:val="Strong"/>
              <w:b w:val="0"/>
              <w:color w:val="000000"/>
              <w:bdr w:val="none" w:sz="0" w:space="0" w:color="auto" w:frame="1"/>
              <w:shd w:val="clear" w:color="auto" w:fill="FFFFFF"/>
            </w:rPr>
            <w:t>Brimbank</w:t>
          </w:r>
        </w:p>
        <w:p w14:paraId="6743A3B0" w14:textId="77777777" w:rsidR="00D3724B" w:rsidRPr="00D3724B" w:rsidRDefault="006B50D3" w:rsidP="00717082">
          <w:pPr>
            <w:pStyle w:val="ListParagraph"/>
            <w:numPr>
              <w:ilvl w:val="0"/>
              <w:numId w:val="102"/>
            </w:numPr>
            <w:rPr>
              <w:rStyle w:val="Strong"/>
              <w:b w:val="0"/>
              <w:bCs w:val="0"/>
            </w:rPr>
          </w:pPr>
          <w:r w:rsidRPr="00D3724B">
            <w:rPr>
              <w:rStyle w:val="Strong"/>
              <w:b w:val="0"/>
              <w:color w:val="000000"/>
              <w:bdr w:val="none" w:sz="0" w:space="0" w:color="auto" w:frame="1"/>
              <w:shd w:val="clear" w:color="auto" w:fill="FFFFFF"/>
            </w:rPr>
            <w:t>Epping</w:t>
          </w:r>
        </w:p>
        <w:p w14:paraId="56D4E0CC" w14:textId="77777777" w:rsidR="00D3724B" w:rsidRPr="00D3724B" w:rsidRDefault="006B50D3" w:rsidP="00717082">
          <w:pPr>
            <w:pStyle w:val="ListParagraph"/>
            <w:numPr>
              <w:ilvl w:val="0"/>
              <w:numId w:val="102"/>
            </w:numPr>
            <w:rPr>
              <w:rStyle w:val="Strong"/>
              <w:b w:val="0"/>
              <w:bCs w:val="0"/>
            </w:rPr>
          </w:pPr>
          <w:r w:rsidRPr="00D3724B">
            <w:rPr>
              <w:rStyle w:val="Strong"/>
              <w:b w:val="0"/>
              <w:color w:val="000000"/>
              <w:bdr w:val="none" w:sz="0" w:space="0" w:color="auto" w:frame="1"/>
              <w:shd w:val="clear" w:color="auto" w:fill="FFFFFF"/>
            </w:rPr>
            <w:t>Geelong</w:t>
          </w:r>
        </w:p>
        <w:p w14:paraId="6290085A" w14:textId="77777777" w:rsidR="00D3724B" w:rsidRPr="00D3724B" w:rsidRDefault="006B50D3" w:rsidP="00717082">
          <w:pPr>
            <w:pStyle w:val="ListParagraph"/>
            <w:numPr>
              <w:ilvl w:val="0"/>
              <w:numId w:val="102"/>
            </w:numPr>
            <w:rPr>
              <w:rStyle w:val="Strong"/>
              <w:b w:val="0"/>
              <w:bCs w:val="0"/>
            </w:rPr>
          </w:pPr>
          <w:r w:rsidRPr="00D3724B">
            <w:rPr>
              <w:rStyle w:val="Strong"/>
              <w:b w:val="0"/>
              <w:color w:val="000000"/>
              <w:bdr w:val="none" w:sz="0" w:space="0" w:color="auto" w:frame="1"/>
              <w:shd w:val="clear" w:color="auto" w:fill="FFFFFF"/>
            </w:rPr>
            <w:t>North Melbourne</w:t>
          </w:r>
        </w:p>
        <w:p w14:paraId="3658B9A1" w14:textId="2CB97A28" w:rsidR="006B50D3" w:rsidRPr="009C54BC" w:rsidRDefault="006B50D3" w:rsidP="00717082">
          <w:pPr>
            <w:pStyle w:val="ListParagraph"/>
            <w:numPr>
              <w:ilvl w:val="0"/>
              <w:numId w:val="102"/>
            </w:numPr>
          </w:pPr>
          <w:r w:rsidRPr="00D3724B">
            <w:rPr>
              <w:rStyle w:val="Strong"/>
              <w:b w:val="0"/>
              <w:color w:val="000000"/>
              <w:bdr w:val="none" w:sz="0" w:space="0" w:color="auto" w:frame="1"/>
              <w:shd w:val="clear" w:color="auto" w:fill="FFFFFF"/>
            </w:rPr>
            <w:t>Wyndham</w:t>
          </w:r>
          <w:r w:rsidRPr="00D3724B">
            <w:rPr>
              <w:shd w:val="clear" w:color="auto" w:fill="FFFFFF"/>
            </w:rPr>
            <w:t xml:space="preserve">.  </w:t>
          </w:r>
        </w:p>
        <w:p w14:paraId="79071973" w14:textId="77777777" w:rsidR="0065031F" w:rsidRDefault="0065031F">
          <w:pPr>
            <w:spacing w:line="259" w:lineRule="auto"/>
            <w:rPr>
              <w:rFonts w:eastAsiaTheme="majorEastAsia" w:cs="Assistant SemiBold"/>
              <w:b/>
              <w:color w:val="323E4F" w:themeColor="text2" w:themeShade="BF"/>
              <w:sz w:val="44"/>
              <w:szCs w:val="40"/>
            </w:rPr>
          </w:pPr>
          <w:bookmarkStart w:id="15" w:name="_Toc95734880"/>
          <w:r>
            <w:br w:type="page"/>
          </w:r>
        </w:p>
        <w:p w14:paraId="79B8F9BF" w14:textId="6B355B93" w:rsidR="007E2758" w:rsidRDefault="007E2758" w:rsidP="007E2758">
          <w:pPr>
            <w:pStyle w:val="Heading2"/>
          </w:pPr>
          <w:bookmarkStart w:id="16" w:name="_Toc98760930"/>
          <w:r>
            <w:lastRenderedPageBreak/>
            <w:t>What Drummond Street saw during COVID-19</w:t>
          </w:r>
          <w:bookmarkEnd w:id="15"/>
          <w:bookmarkEnd w:id="16"/>
        </w:p>
        <w:p w14:paraId="4852126A" w14:textId="77777777" w:rsidR="007E2758" w:rsidRDefault="007E2758" w:rsidP="007E2758">
          <w:r>
            <w:t xml:space="preserve">During the COVID-19 period, over 2,000 clients experiencing family violence accessed services at Drummond Street across varied programs. The average length of support provided (for closed cases) was 265 days and 14 sessions. These sessions consisted of mostly counselling, advocacy, and capacity building for communities and families. </w:t>
          </w:r>
        </w:p>
        <w:p w14:paraId="0F995A6E" w14:textId="77777777" w:rsidR="007E2758" w:rsidRDefault="007E2758" w:rsidP="007E2758">
          <w:r>
            <w:t>There was a very high level of co-occurring needs for clients experiencing family violence. While the level of these needs is likely to be substantially underestimated, Drummond Street still saw significant increases in co-occurrin</w:t>
          </w:r>
          <w:r>
            <w:rPr>
              <w:rFonts w:hint="eastAsia"/>
            </w:rPr>
            <w:t>g</w:t>
          </w:r>
          <w:r>
            <w:t xml:space="preserve"> risk presentations across a number of fields, including:</w:t>
          </w:r>
        </w:p>
        <w:p w14:paraId="092EF359" w14:textId="77777777" w:rsidR="007E2758" w:rsidRPr="007E2758" w:rsidRDefault="007E2758" w:rsidP="00717082">
          <w:pPr>
            <w:pStyle w:val="ListParagraph"/>
            <w:numPr>
              <w:ilvl w:val="0"/>
              <w:numId w:val="9"/>
            </w:numPr>
          </w:pPr>
          <w:r w:rsidRPr="007E2758">
            <w:t>94% of clients with co-occurring mental health needs (e.g., depression, anxiety, stress, mental illness)</w:t>
          </w:r>
        </w:p>
        <w:p w14:paraId="693A5873" w14:textId="77777777" w:rsidR="007E2758" w:rsidRPr="007E2758" w:rsidRDefault="007E2758" w:rsidP="00717082">
          <w:pPr>
            <w:pStyle w:val="ListParagraph"/>
            <w:numPr>
              <w:ilvl w:val="0"/>
              <w:numId w:val="9"/>
            </w:numPr>
          </w:pPr>
          <w:r w:rsidRPr="007E2758">
            <w:t>45% of clients experiencing financial insecurity (including economic deprivation and finance-related needs)</w:t>
          </w:r>
        </w:p>
        <w:p w14:paraId="7E6019AD" w14:textId="77777777" w:rsidR="007E2758" w:rsidRPr="007E2758" w:rsidRDefault="007E2758" w:rsidP="00717082">
          <w:pPr>
            <w:pStyle w:val="ListParagraph"/>
            <w:numPr>
              <w:ilvl w:val="0"/>
              <w:numId w:val="9"/>
            </w:numPr>
          </w:pPr>
          <w:r w:rsidRPr="007E2758">
            <w:t>22% of clients at risk of homelessness</w:t>
          </w:r>
        </w:p>
        <w:p w14:paraId="47C60340" w14:textId="77777777" w:rsidR="007E2758" w:rsidRPr="007E2758" w:rsidRDefault="007E2758" w:rsidP="00717082">
          <w:pPr>
            <w:pStyle w:val="ListParagraph"/>
            <w:numPr>
              <w:ilvl w:val="0"/>
              <w:numId w:val="9"/>
            </w:numPr>
          </w:pPr>
          <w:r w:rsidRPr="007E2758">
            <w:t>51% of clients experiencing social isolation</w:t>
          </w:r>
        </w:p>
        <w:p w14:paraId="12777C67" w14:textId="77777777" w:rsidR="007E2758" w:rsidRPr="007E2758" w:rsidRDefault="007E2758" w:rsidP="00717082">
          <w:pPr>
            <w:pStyle w:val="ListParagraph"/>
            <w:numPr>
              <w:ilvl w:val="0"/>
              <w:numId w:val="9"/>
            </w:numPr>
          </w:pPr>
          <w:r w:rsidRPr="007E2758">
            <w:t>15% of clients with presenting needs related to alcohol and other drug use (e.g., past or present substance abuse).</w:t>
          </w:r>
        </w:p>
        <w:p w14:paraId="0CEC4035" w14:textId="77777777" w:rsidR="007E2758" w:rsidRDefault="007E2758" w:rsidP="007E2758">
          <w:r>
            <w:t xml:space="preserve">Financial needs were exacerbated for clients with disabilities, single parented households, people who spoke a language other than English at home and First Nations clients, while LGBQ+ clients had a much higher risk of homelessness than heterosexual clients. Risk of financial insecurity or homelessness was even further intensified if clients belonged to one or more of these demographic cohorts. </w:t>
          </w:r>
        </w:p>
        <w:p w14:paraId="350BFAC3" w14:textId="7639F039" w:rsidR="00442542" w:rsidRDefault="00442542" w:rsidP="00442542">
          <w:pPr>
            <w:pStyle w:val="Heading3"/>
          </w:pPr>
          <w:r>
            <w:t>Service access</w:t>
          </w:r>
        </w:p>
        <w:p w14:paraId="279FE31B" w14:textId="77777777" w:rsidR="00442542" w:rsidRDefault="00442542" w:rsidP="00442542">
          <w:r>
            <w:t>During the COVID-19 period, 2,022 clients who accessed Drummond Street experienced or were at risk of experiencing family violence. The average length of support for closed cases from intake to final session was 265 days, with an average of 14 sessions. Within these sessions, clients were predominately provided with:</w:t>
          </w:r>
        </w:p>
        <w:p w14:paraId="3BD85B99" w14:textId="77777777" w:rsidR="00442542" w:rsidRPr="00442542" w:rsidRDefault="00442542" w:rsidP="00717082">
          <w:pPr>
            <w:pStyle w:val="ListParagraph"/>
            <w:numPr>
              <w:ilvl w:val="0"/>
              <w:numId w:val="10"/>
            </w:numPr>
          </w:pPr>
          <w:r w:rsidRPr="00442542">
            <w:t>counselling (43%)</w:t>
          </w:r>
        </w:p>
        <w:p w14:paraId="763EDFC9" w14:textId="77777777" w:rsidR="00442542" w:rsidRPr="00442542" w:rsidRDefault="00442542" w:rsidP="00717082">
          <w:pPr>
            <w:pStyle w:val="ListParagraph"/>
            <w:numPr>
              <w:ilvl w:val="0"/>
              <w:numId w:val="10"/>
            </w:numPr>
          </w:pPr>
          <w:r w:rsidRPr="00442542">
            <w:t>advocacy and community capacity building (20%)</w:t>
          </w:r>
        </w:p>
        <w:p w14:paraId="651C0EBD" w14:textId="77777777" w:rsidR="00442542" w:rsidRPr="00442542" w:rsidRDefault="00442542" w:rsidP="00717082">
          <w:pPr>
            <w:pStyle w:val="ListParagraph"/>
            <w:numPr>
              <w:ilvl w:val="0"/>
              <w:numId w:val="10"/>
            </w:numPr>
          </w:pPr>
          <w:r w:rsidRPr="00442542">
            <w:t>family capacity building (18%)</w:t>
          </w:r>
        </w:p>
        <w:p w14:paraId="006E5815" w14:textId="77777777" w:rsidR="00442542" w:rsidRPr="00442542" w:rsidRDefault="00442542" w:rsidP="00717082">
          <w:pPr>
            <w:pStyle w:val="ListParagraph"/>
            <w:numPr>
              <w:ilvl w:val="0"/>
              <w:numId w:val="10"/>
            </w:numPr>
          </w:pPr>
          <w:r w:rsidRPr="00442542">
            <w:t>outreach (7%)</w:t>
          </w:r>
        </w:p>
        <w:p w14:paraId="2435D4EE" w14:textId="77777777" w:rsidR="00442542" w:rsidRPr="00442542" w:rsidRDefault="00442542" w:rsidP="00717082">
          <w:pPr>
            <w:pStyle w:val="ListParagraph"/>
            <w:numPr>
              <w:ilvl w:val="0"/>
              <w:numId w:val="10"/>
            </w:numPr>
          </w:pPr>
          <w:r w:rsidRPr="00442542">
            <w:t>information and referrals (7%).</w:t>
          </w:r>
        </w:p>
        <w:p w14:paraId="403663E3" w14:textId="77777777" w:rsidR="00442542" w:rsidRDefault="00442542" w:rsidP="00442542">
          <w:r>
            <w:t>Referrals were poorly captured by the CRM system for both internal and external referrals. There were 257 referrals made internally to other program areas within Drummond Street, and a total of 198 referrals made to external agencies for 157 clients.</w:t>
          </w:r>
        </w:p>
        <w:p w14:paraId="01A2CE01" w14:textId="77777777" w:rsidR="00442542" w:rsidRDefault="00442542" w:rsidP="00442542">
          <w:r>
            <w:t>Information about where clients were referred to was only collected for 107 clients. The most common referral recorded was 'self-referral' followed by 'another community service agency', 'a GP', or 'a health agency'. As this was only about 5% of the total clients, it makes it an unreliable field.</w:t>
          </w:r>
        </w:p>
        <w:p w14:paraId="5DC59F94" w14:textId="434EC44E" w:rsidR="00442542" w:rsidRDefault="00442542" w:rsidP="00442542">
          <w:pPr>
            <w:pStyle w:val="Heading3"/>
          </w:pPr>
          <w:r>
            <w:t>Co-occurring needs</w:t>
          </w:r>
        </w:p>
        <w:p w14:paraId="0187D8D9" w14:textId="77777777" w:rsidR="00442542" w:rsidRDefault="00442542" w:rsidP="00442542">
          <w:r>
            <w:t>Drummond Street has seen very high rates of isolation and economic deprivation for family violence clients during the COVID-19 pandemic. This is to be expected given what is known about the social and financial impacts of both the pandemic and family violence.</w:t>
          </w:r>
        </w:p>
        <w:p w14:paraId="5396A0DF" w14:textId="77777777" w:rsidR="00442542" w:rsidRDefault="00442542" w:rsidP="00442542">
          <w:r>
            <w:t>About half of all family violence clients were experiencing social isolation (51%) and financial insecurity (45%), with almost one in four clients (22%) at risk of homelessness. Almost all family violence clients also had mental health needs (94%) and around 15% of clients had needs related to alcohol and other drugs (AOD).</w:t>
          </w:r>
        </w:p>
        <w:p w14:paraId="54A67303" w14:textId="71877EA6" w:rsidR="00442542" w:rsidRDefault="00442542" w:rsidP="00442542">
          <w:pPr>
            <w:pStyle w:val="Heading3"/>
          </w:pPr>
          <w:r>
            <w:t>Reasons for seeking assistance</w:t>
          </w:r>
        </w:p>
        <w:p w14:paraId="109723E4" w14:textId="77777777" w:rsidR="00442542" w:rsidRDefault="00442542" w:rsidP="00442542">
          <w:r>
            <w:t>The most common primary reasons for clients to seek assistance were:</w:t>
          </w:r>
        </w:p>
        <w:p w14:paraId="1148A797" w14:textId="77777777" w:rsidR="00442542" w:rsidRPr="00442542" w:rsidRDefault="00442542" w:rsidP="00717082">
          <w:pPr>
            <w:pStyle w:val="ListParagraph"/>
            <w:numPr>
              <w:ilvl w:val="0"/>
              <w:numId w:val="11"/>
            </w:numPr>
          </w:pPr>
          <w:r w:rsidRPr="00442542">
            <w:t>family functioning (44.5%)</w:t>
          </w:r>
        </w:p>
        <w:p w14:paraId="2B520374" w14:textId="77777777" w:rsidR="00442542" w:rsidRPr="00442542" w:rsidRDefault="00442542" w:rsidP="00717082">
          <w:pPr>
            <w:pStyle w:val="ListParagraph"/>
            <w:numPr>
              <w:ilvl w:val="0"/>
              <w:numId w:val="11"/>
            </w:numPr>
          </w:pPr>
          <w:r w:rsidRPr="00442542">
            <w:t>mental health (22.4%)</w:t>
          </w:r>
        </w:p>
        <w:p w14:paraId="045B4A71" w14:textId="77777777" w:rsidR="00442542" w:rsidRPr="00442542" w:rsidRDefault="00442542" w:rsidP="00717082">
          <w:pPr>
            <w:pStyle w:val="ListParagraph"/>
            <w:numPr>
              <w:ilvl w:val="0"/>
              <w:numId w:val="11"/>
            </w:numPr>
          </w:pPr>
          <w:r w:rsidRPr="00442542">
            <w:t>personal and family safety (13%).</w:t>
          </w:r>
        </w:p>
        <w:p w14:paraId="3D438799" w14:textId="77777777" w:rsidR="00442542" w:rsidRDefault="00442542" w:rsidP="00442542">
          <w:pPr>
            <w:pStyle w:val="Heading3"/>
          </w:pPr>
          <w:r>
            <w:t>Brokerage</w:t>
          </w:r>
        </w:p>
        <w:p w14:paraId="08E0859A" w14:textId="77777777" w:rsidR="00717082" w:rsidRDefault="00442542" w:rsidP="00442542">
          <w:r>
            <w:t xml:space="preserve">Almost $72,000 of brokerage was provided to clients experiencing family violence during the COVID-19 period from w-respect, Futures Free from Violence and </w:t>
          </w:r>
          <w:r w:rsidRPr="00F37C0A">
            <w:t>Targeted Psychological Services</w:t>
          </w:r>
          <w:r>
            <w:t>.</w:t>
          </w:r>
        </w:p>
        <w:p w14:paraId="62B5DB69" w14:textId="432BF847" w:rsidR="00442542" w:rsidRDefault="00442542" w:rsidP="00442542">
          <w:r>
            <w:t>Drummond Street also provided additional brokerage and essential supplies to clients across a broad range of other programs, with the majority of funds spent on the organisation’s FOODS service that provided food and essential material goods (a total of $</w:t>
          </w:r>
          <w:r w:rsidRPr="005F1149">
            <w:t>68,450.83</w:t>
          </w:r>
          <w:r>
            <w:t>). The second most common area was accommodation (a total of $41,687.30). Accommodation assistance included:</w:t>
          </w:r>
        </w:p>
        <w:p w14:paraId="75AF3B62" w14:textId="77777777" w:rsidR="00442542" w:rsidRPr="0068091A" w:rsidRDefault="00442542" w:rsidP="00717082">
          <w:pPr>
            <w:pStyle w:val="ListParagraph"/>
            <w:numPr>
              <w:ilvl w:val="0"/>
              <w:numId w:val="12"/>
            </w:numPr>
          </w:pPr>
          <w:r w:rsidRPr="0068091A">
            <w:t>support with rent</w:t>
          </w:r>
        </w:p>
        <w:p w14:paraId="5E86228C" w14:textId="77777777" w:rsidR="00442542" w:rsidRPr="0068091A" w:rsidRDefault="00442542" w:rsidP="00717082">
          <w:pPr>
            <w:pStyle w:val="ListParagraph"/>
            <w:numPr>
              <w:ilvl w:val="0"/>
              <w:numId w:val="12"/>
            </w:numPr>
          </w:pPr>
          <w:r w:rsidRPr="0068091A">
            <w:t>establishing or maintaining a long-term tenancy</w:t>
          </w:r>
        </w:p>
        <w:p w14:paraId="5AE8501D" w14:textId="77777777" w:rsidR="00442542" w:rsidRPr="0068091A" w:rsidRDefault="00442542" w:rsidP="00717082">
          <w:pPr>
            <w:pStyle w:val="ListParagraph"/>
            <w:numPr>
              <w:ilvl w:val="0"/>
              <w:numId w:val="12"/>
            </w:numPr>
          </w:pPr>
          <w:r w:rsidRPr="0068091A">
            <w:t>short-term and emergency accommodation relief.</w:t>
          </w:r>
        </w:p>
        <w:p w14:paraId="1D566106" w14:textId="77777777" w:rsidR="00442542" w:rsidRDefault="00442542" w:rsidP="00442542">
          <w:r>
            <w:t>Drummond Street practitioners also supported clients experiencing family violence to access flexible support packages through other organisations.</w:t>
          </w:r>
        </w:p>
        <w:p w14:paraId="075EB486" w14:textId="6C037B79" w:rsidR="00797805" w:rsidRDefault="0017055C" w:rsidP="00797805">
          <w:r>
            <w:t>During COVID-19</w:t>
          </w:r>
          <w:r w:rsidR="00797805">
            <w:t xml:space="preserve">, Drummond Street Services spent the following amounts of brokerage funds. (This list is ordered from largest to smallest </w:t>
          </w:r>
          <w:r>
            <w:t>amount</w:t>
          </w:r>
          <w:r w:rsidR="00797805">
            <w:t>.)</w:t>
          </w:r>
          <w:r w:rsidR="00717082">
            <w:t xml:space="preserve"> </w:t>
          </w:r>
        </w:p>
        <w:p w14:paraId="211E1C9F" w14:textId="55FDE5B1" w:rsidR="00124990" w:rsidRPr="00506282" w:rsidRDefault="00124990" w:rsidP="00717082">
          <w:pPr>
            <w:pStyle w:val="ListParagraph"/>
            <w:numPr>
              <w:ilvl w:val="0"/>
              <w:numId w:val="93"/>
            </w:numPr>
            <w:rPr>
              <w:szCs w:val="24"/>
              <w:lang w:eastAsia="en-US"/>
            </w:rPr>
          </w:pPr>
          <w:r>
            <w:t>FOODS Service</w:t>
          </w:r>
          <w:r w:rsidR="00717082">
            <w:t xml:space="preserve"> – </w:t>
          </w:r>
          <w:r>
            <w:t>$</w:t>
          </w:r>
          <w:r w:rsidRPr="005F1149">
            <w:t>68,450.83</w:t>
          </w:r>
        </w:p>
        <w:p w14:paraId="62596FD5" w14:textId="21FE6445" w:rsidR="00124990" w:rsidRDefault="00F725F8" w:rsidP="00717082">
          <w:pPr>
            <w:pStyle w:val="ListParagraph"/>
            <w:numPr>
              <w:ilvl w:val="0"/>
              <w:numId w:val="90"/>
            </w:numPr>
          </w:pPr>
          <w:r w:rsidRPr="00506282">
            <w:t>rent to maintain a tenancy</w:t>
          </w:r>
          <w:r w:rsidR="00717082">
            <w:t xml:space="preserve"> – </w:t>
          </w:r>
          <w:r w:rsidRPr="00506282">
            <w:t>$22,341.32</w:t>
          </w:r>
        </w:p>
        <w:p w14:paraId="08124879" w14:textId="7CF3F07D" w:rsidR="00797805" w:rsidRDefault="00F725F8" w:rsidP="00717082">
          <w:pPr>
            <w:pStyle w:val="ListParagraph"/>
            <w:numPr>
              <w:ilvl w:val="0"/>
              <w:numId w:val="90"/>
            </w:numPr>
          </w:pPr>
          <w:r w:rsidRPr="00506282">
            <w:t>vouchers</w:t>
          </w:r>
          <w:r w:rsidR="00717082">
            <w:t xml:space="preserve"> – </w:t>
          </w:r>
          <w:r w:rsidRPr="00506282">
            <w:t>$13,138.95</w:t>
          </w:r>
        </w:p>
        <w:p w14:paraId="14D2FBC6" w14:textId="7E205CC8" w:rsidR="000C5E85" w:rsidRDefault="00F725F8" w:rsidP="00717082">
          <w:pPr>
            <w:pStyle w:val="ListParagraph"/>
            <w:numPr>
              <w:ilvl w:val="0"/>
              <w:numId w:val="90"/>
            </w:numPr>
          </w:pPr>
          <w:r w:rsidRPr="00506282">
            <w:t>rent to establish a tenancy</w:t>
          </w:r>
          <w:r w:rsidR="00717082">
            <w:t xml:space="preserve"> – </w:t>
          </w:r>
          <w:r w:rsidRPr="00506282">
            <w:t>$11,208</w:t>
          </w:r>
        </w:p>
        <w:p w14:paraId="576290B1" w14:textId="19C10DB0" w:rsidR="000C5E85" w:rsidRDefault="00F725F8" w:rsidP="00717082">
          <w:pPr>
            <w:pStyle w:val="ListParagraph"/>
            <w:numPr>
              <w:ilvl w:val="0"/>
              <w:numId w:val="90"/>
            </w:numPr>
          </w:pPr>
          <w:r w:rsidRPr="00506282">
            <w:t>food vouchers</w:t>
          </w:r>
          <w:r w:rsidR="00717082">
            <w:t xml:space="preserve"> – </w:t>
          </w:r>
          <w:r w:rsidRPr="00506282">
            <w:t>$4,550</w:t>
          </w:r>
        </w:p>
        <w:p w14:paraId="6CDAFE53" w14:textId="43C0CDBF" w:rsidR="000C5E85" w:rsidRDefault="00F725F8" w:rsidP="00717082">
          <w:pPr>
            <w:pStyle w:val="ListParagraph"/>
            <w:numPr>
              <w:ilvl w:val="0"/>
              <w:numId w:val="90"/>
            </w:numPr>
          </w:pPr>
          <w:r w:rsidRPr="00506282">
            <w:t>removalists or storage</w:t>
          </w:r>
          <w:r w:rsidR="00717082">
            <w:t xml:space="preserve"> – </w:t>
          </w:r>
          <w:r w:rsidRPr="00506282">
            <w:t>$3,340</w:t>
          </w:r>
        </w:p>
        <w:p w14:paraId="7987751A" w14:textId="717CF38B" w:rsidR="000C5E85" w:rsidRDefault="00F725F8" w:rsidP="00717082">
          <w:pPr>
            <w:pStyle w:val="ListParagraph"/>
            <w:numPr>
              <w:ilvl w:val="0"/>
              <w:numId w:val="90"/>
            </w:numPr>
          </w:pPr>
          <w:r w:rsidRPr="00506282">
            <w:t>legal services</w:t>
          </w:r>
          <w:r w:rsidR="00717082">
            <w:t xml:space="preserve"> – </w:t>
          </w:r>
          <w:r w:rsidRPr="00506282">
            <w:t>$3,050</w:t>
          </w:r>
        </w:p>
        <w:p w14:paraId="08F36B0E" w14:textId="3DD7C702" w:rsidR="000C5E85" w:rsidRDefault="00F725F8" w:rsidP="00717082">
          <w:pPr>
            <w:pStyle w:val="ListParagraph"/>
            <w:numPr>
              <w:ilvl w:val="0"/>
              <w:numId w:val="90"/>
            </w:numPr>
          </w:pPr>
          <w:r w:rsidRPr="00506282">
            <w:t>motels</w:t>
          </w:r>
          <w:r>
            <w:t xml:space="preserve"> or h</w:t>
          </w:r>
          <w:r w:rsidRPr="00506282">
            <w:t>otels</w:t>
          </w:r>
          <w:r w:rsidR="00717082">
            <w:t xml:space="preserve"> – </w:t>
          </w:r>
          <w:r w:rsidRPr="00506282">
            <w:t>$3,026</w:t>
          </w:r>
        </w:p>
        <w:p w14:paraId="24AA6BFF" w14:textId="452EA59B" w:rsidR="008863C5" w:rsidRDefault="00F725F8" w:rsidP="00717082">
          <w:pPr>
            <w:pStyle w:val="ListParagraph"/>
            <w:numPr>
              <w:ilvl w:val="0"/>
              <w:numId w:val="90"/>
            </w:numPr>
          </w:pPr>
          <w:r w:rsidRPr="00506282">
            <w:t>phones and sim cards</w:t>
          </w:r>
          <w:r w:rsidR="00717082">
            <w:t xml:space="preserve"> – </w:t>
          </w:r>
          <w:r w:rsidRPr="00506282">
            <w:t>$2,530</w:t>
          </w:r>
        </w:p>
        <w:p w14:paraId="3CB5477B" w14:textId="7314079D" w:rsidR="008863C5" w:rsidRDefault="00F725F8" w:rsidP="00717082">
          <w:pPr>
            <w:pStyle w:val="ListParagraph"/>
            <w:numPr>
              <w:ilvl w:val="0"/>
              <w:numId w:val="90"/>
            </w:numPr>
          </w:pPr>
          <w:r w:rsidRPr="00506282">
            <w:t xml:space="preserve">medical </w:t>
          </w:r>
          <w:r>
            <w:t xml:space="preserve">and health (e.g., </w:t>
          </w:r>
          <w:r w:rsidRPr="00506282">
            <w:t>pharmaceuticals</w:t>
          </w:r>
          <w:r>
            <w:t xml:space="preserve">, </w:t>
          </w:r>
          <w:r w:rsidRPr="00506282">
            <w:t>aids</w:t>
          </w:r>
          <w:r>
            <w:t>)</w:t>
          </w:r>
          <w:r w:rsidR="00717082">
            <w:t xml:space="preserve"> – </w:t>
          </w:r>
          <w:r w:rsidRPr="00506282">
            <w:t>$</w:t>
          </w:r>
          <w:r>
            <w:t>2,530</w:t>
          </w:r>
        </w:p>
        <w:p w14:paraId="7FF387C1" w14:textId="06A84748" w:rsidR="008863C5" w:rsidRDefault="00F725F8" w:rsidP="00717082">
          <w:pPr>
            <w:pStyle w:val="ListParagraph"/>
            <w:numPr>
              <w:ilvl w:val="0"/>
              <w:numId w:val="90"/>
            </w:numPr>
          </w:pPr>
          <w:r w:rsidRPr="00506282">
            <w:t>other payment</w:t>
          </w:r>
          <w:r w:rsidR="00717082">
            <w:t xml:space="preserve"> – </w:t>
          </w:r>
          <w:r w:rsidRPr="00506282">
            <w:t>$2,090.54</w:t>
          </w:r>
        </w:p>
        <w:p w14:paraId="0ADC02C1" w14:textId="3AAE4E3A" w:rsidR="008863C5" w:rsidRDefault="00F725F8" w:rsidP="00717082">
          <w:pPr>
            <w:pStyle w:val="ListParagraph"/>
            <w:numPr>
              <w:ilvl w:val="0"/>
              <w:numId w:val="90"/>
            </w:numPr>
          </w:pPr>
          <w:r w:rsidRPr="00506282">
            <w:t>other establishing a tenancy</w:t>
          </w:r>
          <w:r w:rsidR="00717082">
            <w:t xml:space="preserve"> – </w:t>
          </w:r>
          <w:r w:rsidRPr="00506282">
            <w:t>$1,272</w:t>
          </w:r>
        </w:p>
        <w:p w14:paraId="7F369DF3" w14:textId="534EFA16" w:rsidR="008863C5" w:rsidRDefault="00F725F8" w:rsidP="00717082">
          <w:pPr>
            <w:pStyle w:val="ListParagraph"/>
            <w:numPr>
              <w:ilvl w:val="0"/>
              <w:numId w:val="90"/>
            </w:numPr>
          </w:pPr>
          <w:r w:rsidRPr="00506282">
            <w:t>food purchases</w:t>
          </w:r>
          <w:r w:rsidR="00717082">
            <w:t xml:space="preserve"> – </w:t>
          </w:r>
          <w:r>
            <w:t>$650</w:t>
          </w:r>
        </w:p>
        <w:p w14:paraId="2F5BA9FA" w14:textId="22757A5F" w:rsidR="008863C5" w:rsidRDefault="00F725F8" w:rsidP="00717082">
          <w:pPr>
            <w:pStyle w:val="ListParagraph"/>
            <w:numPr>
              <w:ilvl w:val="0"/>
              <w:numId w:val="90"/>
            </w:numPr>
          </w:pPr>
          <w:r w:rsidRPr="00506282">
            <w:t>other safety measures</w:t>
          </w:r>
          <w:r w:rsidR="00717082">
            <w:t xml:space="preserve"> – </w:t>
          </w:r>
          <w:r>
            <w:t>$500</w:t>
          </w:r>
        </w:p>
        <w:p w14:paraId="4BD10279" w14:textId="265A455A" w:rsidR="008863C5" w:rsidRDefault="00F725F8" w:rsidP="00717082">
          <w:pPr>
            <w:pStyle w:val="ListParagraph"/>
            <w:numPr>
              <w:ilvl w:val="0"/>
              <w:numId w:val="90"/>
            </w:numPr>
          </w:pPr>
          <w:r w:rsidRPr="00506282">
            <w:t>other short</w:t>
          </w:r>
          <w:r>
            <w:t>-</w:t>
          </w:r>
          <w:r w:rsidRPr="00506282">
            <w:t>term or emergency accommodation</w:t>
          </w:r>
          <w:r w:rsidR="00717082">
            <w:t xml:space="preserve"> – </w:t>
          </w:r>
          <w:r>
            <w:t>$500</w:t>
          </w:r>
        </w:p>
        <w:p w14:paraId="6F297360" w14:textId="2762549C" w:rsidR="00835448" w:rsidRDefault="00F725F8" w:rsidP="00717082">
          <w:pPr>
            <w:pStyle w:val="ListParagraph"/>
            <w:numPr>
              <w:ilvl w:val="0"/>
              <w:numId w:val="90"/>
            </w:numPr>
          </w:pPr>
          <w:r w:rsidRPr="00506282">
            <w:t>connectivity</w:t>
          </w:r>
          <w:r>
            <w:t xml:space="preserve">, </w:t>
          </w:r>
          <w:r w:rsidRPr="00506282">
            <w:t>phones</w:t>
          </w:r>
          <w:r>
            <w:t xml:space="preserve"> or </w:t>
          </w:r>
          <w:r w:rsidRPr="00506282">
            <w:t>computers</w:t>
          </w:r>
          <w:r w:rsidR="00717082">
            <w:t xml:space="preserve"> – </w:t>
          </w:r>
          <w:r>
            <w:t>$450</w:t>
          </w:r>
        </w:p>
        <w:p w14:paraId="5AA81AC6" w14:textId="1C5923BB" w:rsidR="00835448" w:rsidRPr="00835448" w:rsidRDefault="00F725F8" w:rsidP="00717082">
          <w:pPr>
            <w:pStyle w:val="ListParagraph"/>
            <w:numPr>
              <w:ilvl w:val="0"/>
              <w:numId w:val="90"/>
            </w:numPr>
          </w:pPr>
          <w:r w:rsidRPr="00506282">
            <w:t>travel</w:t>
          </w:r>
          <w:r>
            <w:t xml:space="preserve"> or c</w:t>
          </w:r>
          <w:r w:rsidRPr="00506282">
            <w:t>ommuting (</w:t>
          </w:r>
          <w:r>
            <w:t>e.g.,</w:t>
          </w:r>
          <w:r w:rsidRPr="00506282">
            <w:t xml:space="preserve"> cars</w:t>
          </w:r>
          <w:r>
            <w:t xml:space="preserve">, </w:t>
          </w:r>
          <w:r w:rsidRPr="00506282">
            <w:t>driving lessons, myki cards)</w:t>
          </w:r>
          <w:r w:rsidR="00717082">
            <w:t xml:space="preserve"> – </w:t>
          </w:r>
          <w:r w:rsidRPr="00506282">
            <w:t>$250</w:t>
          </w:r>
        </w:p>
        <w:p w14:paraId="0E1FF03A" w14:textId="0B41E038" w:rsidR="00835448" w:rsidRDefault="00F725F8" w:rsidP="00717082">
          <w:pPr>
            <w:pStyle w:val="ListParagraph"/>
            <w:numPr>
              <w:ilvl w:val="0"/>
              <w:numId w:val="90"/>
            </w:numPr>
          </w:pPr>
          <w:r w:rsidRPr="00506282">
            <w:t>other training</w:t>
          </w:r>
          <w:r>
            <w:t xml:space="preserve">, </w:t>
          </w:r>
          <w:r w:rsidRPr="00506282">
            <w:t>education</w:t>
          </w:r>
          <w:r>
            <w:t xml:space="preserve"> and </w:t>
          </w:r>
          <w:r w:rsidRPr="00506282">
            <w:t>employment (</w:t>
          </w:r>
          <w:r>
            <w:t xml:space="preserve">e.g., </w:t>
          </w:r>
          <w:r w:rsidRPr="00506282">
            <w:t>fees, travel, interviews)</w:t>
          </w:r>
          <w:r w:rsidR="00717082">
            <w:t xml:space="preserve"> – </w:t>
          </w:r>
          <w:r w:rsidRPr="00506282">
            <w:t>$111</w:t>
          </w:r>
        </w:p>
        <w:p w14:paraId="12C72A31" w14:textId="056F3F26" w:rsidR="00835448" w:rsidRDefault="00F725F8" w:rsidP="00717082">
          <w:pPr>
            <w:pStyle w:val="ListParagraph"/>
            <w:numPr>
              <w:ilvl w:val="0"/>
              <w:numId w:val="90"/>
            </w:numPr>
          </w:pPr>
          <w:r w:rsidRPr="00506282">
            <w:t>domestic safety measures to maintain a tenancy</w:t>
          </w:r>
          <w:r w:rsidR="00717082">
            <w:t xml:space="preserve"> – </w:t>
          </w:r>
          <w:r w:rsidRPr="00506282">
            <w:t>$90</w:t>
          </w:r>
        </w:p>
        <w:p w14:paraId="1F3B4AE6" w14:textId="77777777" w:rsidR="0065031F" w:rsidRDefault="0065031F">
          <w:pPr>
            <w:spacing w:line="259" w:lineRule="auto"/>
            <w:rPr>
              <w:rFonts w:eastAsiaTheme="majorEastAsia" w:cs="Assistant SemiBold"/>
              <w:b/>
              <w:color w:val="323E4F" w:themeColor="text2" w:themeShade="BF"/>
              <w:sz w:val="44"/>
              <w:szCs w:val="40"/>
            </w:rPr>
          </w:pPr>
          <w:bookmarkStart w:id="17" w:name="_Toc95734881"/>
          <w:r>
            <w:br w:type="page"/>
          </w:r>
        </w:p>
        <w:p w14:paraId="34F12B45" w14:textId="7AD38251" w:rsidR="00815231" w:rsidRDefault="00815231" w:rsidP="00815231">
          <w:pPr>
            <w:pStyle w:val="Heading2"/>
          </w:pPr>
          <w:bookmarkStart w:id="18" w:name="_Toc98760931"/>
          <w:r>
            <w:t>Demographics</w:t>
          </w:r>
          <w:bookmarkEnd w:id="17"/>
          <w:bookmarkEnd w:id="18"/>
        </w:p>
        <w:p w14:paraId="529F20FA" w14:textId="69C6D0F4" w:rsidR="00815231" w:rsidRPr="00815231" w:rsidRDefault="00815231" w:rsidP="00066D48">
          <w:r>
            <w:t>The demographic data demonstrates the common needs occurring across different and intersecting cohorts.</w:t>
          </w:r>
        </w:p>
        <w:p w14:paraId="3DC10318" w14:textId="77777777" w:rsidR="00815231" w:rsidRDefault="00815231" w:rsidP="00815231">
          <w:r>
            <w:t>Across the varied cohorts, Drummond Street saw both distinct and overlapping co-occurring issues. There was a low number of First Nations clients experiencing family violence, and it is proposed that the co-occurring needs are a poor reflection of the needs of First Nations communities.</w:t>
          </w:r>
        </w:p>
        <w:p w14:paraId="30A07541" w14:textId="064A0342" w:rsidR="00815231" w:rsidRDefault="00815231" w:rsidP="00815231">
          <w:r>
            <w:t>There was a low number of older clients. Additionally, there was poor data capture for children and young people, as children were more commonly attached to a parent case than they were seeking out services individually. This means that data entry is more reflective of the needs of their parent/family.</w:t>
          </w:r>
        </w:p>
        <w:p w14:paraId="16BF07AC" w14:textId="708D751A" w:rsidR="00815231" w:rsidRDefault="00815231" w:rsidP="00815231">
          <w:pPr>
            <w:pStyle w:val="Heading3"/>
          </w:pPr>
          <w:r>
            <w:t xml:space="preserve">Clients with </w:t>
          </w:r>
          <w:r w:rsidR="00C73EB2">
            <w:t>d</w:t>
          </w:r>
          <w:r>
            <w:t>isabilities</w:t>
          </w:r>
        </w:p>
        <w:p w14:paraId="399608C8" w14:textId="77777777" w:rsidR="00815231" w:rsidRDefault="00815231" w:rsidP="00815231">
          <w:r>
            <w:t>There were 272 clients (13%) who were living with disabilities, experiencing family violence and accessing Drummond S</w:t>
          </w:r>
          <w:r>
            <w:rPr>
              <w:rFonts w:hint="eastAsia"/>
            </w:rPr>
            <w:t>t</w:t>
          </w:r>
          <w:r>
            <w:t xml:space="preserve">reet during the COVID-19 period. </w:t>
          </w:r>
        </w:p>
        <w:p w14:paraId="4BDBBC71" w14:textId="77777777" w:rsidR="00815231" w:rsidRDefault="00815231" w:rsidP="00815231">
          <w:r>
            <w:t>Clients with disabilities were at a higher risk of experiencing homelessness, financial insecurity and social isolation compared to clients without disabilities. Additionally, clients with disabilities who were in single parented households had even greater financial insecurity and mental health needs.</w:t>
          </w:r>
        </w:p>
        <w:p w14:paraId="47D92872" w14:textId="682C8CB6" w:rsidR="00815231" w:rsidRDefault="00815231" w:rsidP="00815231">
          <w:pPr>
            <w:pStyle w:val="Heading4"/>
          </w:pPr>
          <w:r>
            <w:t>Co-</w:t>
          </w:r>
          <w:r w:rsidR="00C73EB2">
            <w:t>o</w:t>
          </w:r>
          <w:r>
            <w:t xml:space="preserve">ccurring </w:t>
          </w:r>
          <w:r w:rsidR="00C73EB2">
            <w:t>n</w:t>
          </w:r>
          <w:r>
            <w:t>eeds</w:t>
          </w:r>
        </w:p>
        <w:p w14:paraId="70F17EBE" w14:textId="77777777" w:rsidR="00815231" w:rsidRDefault="00815231" w:rsidP="00815231">
          <w:r>
            <w:t>Of Drummond Street’s clients with disabilities:</w:t>
          </w:r>
        </w:p>
        <w:p w14:paraId="7B983D59" w14:textId="77777777" w:rsidR="00815231" w:rsidRPr="00C73EB2" w:rsidRDefault="00815231" w:rsidP="00717082">
          <w:pPr>
            <w:pStyle w:val="ListParagraph"/>
            <w:numPr>
              <w:ilvl w:val="0"/>
              <w:numId w:val="14"/>
            </w:numPr>
          </w:pPr>
          <w:r w:rsidRPr="00C73EB2">
            <w:t xml:space="preserve">28% (n=76) reported risk of homelessness, which was 1.5 times higher than clients without </w:t>
          </w:r>
          <w:r w:rsidRPr="00C73EB2" w:rsidDel="00F07408">
            <w:t xml:space="preserve">a </w:t>
          </w:r>
          <w:r w:rsidRPr="00C73EB2">
            <w:t>disability (21%)</w:t>
          </w:r>
        </w:p>
        <w:p w14:paraId="1A768921" w14:textId="77777777" w:rsidR="00815231" w:rsidRPr="00C73EB2" w:rsidRDefault="00815231" w:rsidP="00717082">
          <w:pPr>
            <w:pStyle w:val="ListParagraph"/>
            <w:numPr>
              <w:ilvl w:val="0"/>
              <w:numId w:val="14"/>
            </w:numPr>
          </w:pPr>
          <w:r w:rsidRPr="00C73EB2">
            <w:t xml:space="preserve">58% (n=158) reported risk of financial insecurity, which was 1.8 times higher than clients without </w:t>
          </w:r>
          <w:r w:rsidRPr="00C73EB2" w:rsidDel="00F07408">
            <w:t xml:space="preserve">a </w:t>
          </w:r>
          <w:r w:rsidRPr="00C73EB2">
            <w:t>disability (42%)</w:t>
          </w:r>
        </w:p>
        <w:p w14:paraId="50776BF6" w14:textId="77777777" w:rsidR="00815231" w:rsidRPr="00C73EB2" w:rsidRDefault="00815231" w:rsidP="00717082">
          <w:pPr>
            <w:pStyle w:val="ListParagraph"/>
            <w:numPr>
              <w:ilvl w:val="0"/>
              <w:numId w:val="14"/>
            </w:numPr>
          </w:pPr>
          <w:r w:rsidRPr="00C73EB2">
            <w:t xml:space="preserve">17% (n=46) reported AOD-related needs, which was similar to the rate among clients without </w:t>
          </w:r>
          <w:r w:rsidRPr="00C73EB2" w:rsidDel="00F07408">
            <w:t xml:space="preserve">a </w:t>
          </w:r>
          <w:r w:rsidRPr="00C73EB2">
            <w:t>disability (15%)</w:t>
          </w:r>
        </w:p>
        <w:p w14:paraId="1075A652" w14:textId="77777777" w:rsidR="00815231" w:rsidRPr="00C73EB2" w:rsidRDefault="00815231" w:rsidP="00717082">
          <w:pPr>
            <w:pStyle w:val="ListParagraph"/>
            <w:numPr>
              <w:ilvl w:val="0"/>
              <w:numId w:val="14"/>
            </w:numPr>
          </w:pPr>
          <w:r w:rsidRPr="00C73EB2">
            <w:t xml:space="preserve">94% (n=255) reported having mental health needs, which was the same as the rate among clients without </w:t>
          </w:r>
          <w:r w:rsidRPr="00C73EB2" w:rsidDel="00F07408">
            <w:t xml:space="preserve">a </w:t>
          </w:r>
          <w:r w:rsidRPr="00C73EB2">
            <w:t>disability</w:t>
          </w:r>
        </w:p>
        <w:p w14:paraId="0C7A4520" w14:textId="77777777" w:rsidR="00815231" w:rsidRPr="00C73EB2" w:rsidRDefault="00815231" w:rsidP="00717082">
          <w:pPr>
            <w:pStyle w:val="ListParagraph"/>
            <w:numPr>
              <w:ilvl w:val="0"/>
              <w:numId w:val="14"/>
            </w:numPr>
          </w:pPr>
          <w:r w:rsidRPr="00C73EB2">
            <w:t xml:space="preserve">57% (n=117) reported social isolation, which was 1.3 times higher than clients without </w:t>
          </w:r>
          <w:r w:rsidRPr="00C73EB2" w:rsidDel="00F07408">
            <w:t xml:space="preserve">a </w:t>
          </w:r>
          <w:r w:rsidRPr="00C73EB2">
            <w:t>disability (50%)</w:t>
          </w:r>
        </w:p>
        <w:p w14:paraId="49BA8BFB" w14:textId="77777777" w:rsidR="00815231" w:rsidRPr="00C73EB2" w:rsidRDefault="00815231" w:rsidP="00717082">
          <w:pPr>
            <w:pStyle w:val="ListParagraph"/>
            <w:numPr>
              <w:ilvl w:val="0"/>
              <w:numId w:val="14"/>
            </w:numPr>
          </w:pPr>
          <w:r w:rsidRPr="00C73EB2">
            <w:t xml:space="preserve">32% (n=87) were from single parented households, which was similar to those without </w:t>
          </w:r>
          <w:r w:rsidRPr="00C73EB2" w:rsidDel="00F07408">
            <w:t xml:space="preserve">a </w:t>
          </w:r>
          <w:r w:rsidRPr="00C73EB2">
            <w:t>disability (30%) – of these clients, 68% experiencing financial insecurity (n=59) and 100% had mental health needs</w:t>
          </w:r>
        </w:p>
        <w:p w14:paraId="1498EE3C" w14:textId="77777777" w:rsidR="00815231" w:rsidRPr="00C73EB2" w:rsidRDefault="00815231" w:rsidP="00717082">
          <w:pPr>
            <w:pStyle w:val="ListParagraph"/>
            <w:numPr>
              <w:ilvl w:val="0"/>
              <w:numId w:val="14"/>
            </w:numPr>
          </w:pPr>
          <w:r w:rsidRPr="00C73EB2">
            <w:t xml:space="preserve">18% (n=48) had children in the home, which was similar to those without </w:t>
          </w:r>
          <w:r w:rsidRPr="00C73EB2" w:rsidDel="00F07408">
            <w:t xml:space="preserve">a </w:t>
          </w:r>
          <w:r w:rsidRPr="00C73EB2">
            <w:t>disability (15%)</w:t>
          </w:r>
        </w:p>
        <w:p w14:paraId="49F8234D" w14:textId="77777777" w:rsidR="00815231" w:rsidRPr="00C73EB2" w:rsidRDefault="00815231" w:rsidP="00717082">
          <w:pPr>
            <w:pStyle w:val="ListParagraph"/>
            <w:numPr>
              <w:ilvl w:val="0"/>
              <w:numId w:val="14"/>
            </w:numPr>
          </w:pPr>
          <w:r w:rsidRPr="00C73EB2">
            <w:t>5% (n=14) of clients with disabilities spoke a first language that was not English – of these clients, 100% were at risk of homelessness and had mental health needs.</w:t>
          </w:r>
        </w:p>
        <w:p w14:paraId="44A566D4" w14:textId="77777777" w:rsidR="00816982" w:rsidRDefault="00816982" w:rsidP="00816982">
          <w:pPr>
            <w:pStyle w:val="Heading4"/>
          </w:pPr>
          <w:r>
            <w:t>Primary reasons for seeking assistance</w:t>
          </w:r>
        </w:p>
        <w:p w14:paraId="6C7C28D0" w14:textId="77777777" w:rsidR="00632AF4" w:rsidRDefault="00632AF4" w:rsidP="00632AF4">
          <w:r>
            <w:t>Clients with disabilities were more likely to be seeking assistance primarily for:</w:t>
          </w:r>
        </w:p>
        <w:p w14:paraId="7236A740" w14:textId="77777777" w:rsidR="00632AF4" w:rsidRPr="005C1C36" w:rsidRDefault="00632AF4" w:rsidP="00717082">
          <w:pPr>
            <w:pStyle w:val="ListParagraph"/>
            <w:numPr>
              <w:ilvl w:val="0"/>
              <w:numId w:val="15"/>
            </w:numPr>
          </w:pPr>
          <w:r w:rsidRPr="005C1C36">
            <w:t xml:space="preserve">mental health – 60% of clients with disabilities compared to 52% without </w:t>
          </w:r>
          <w:r w:rsidRPr="005C1C36" w:rsidDel="003C0358">
            <w:t xml:space="preserve">a </w:t>
          </w:r>
          <w:r w:rsidRPr="005C1C36">
            <w:t>disability</w:t>
          </w:r>
        </w:p>
        <w:p w14:paraId="35BB2D79" w14:textId="77777777" w:rsidR="00632AF4" w:rsidRPr="005C1C36" w:rsidRDefault="00632AF4" w:rsidP="00717082">
          <w:pPr>
            <w:pStyle w:val="ListParagraph"/>
            <w:numPr>
              <w:ilvl w:val="0"/>
              <w:numId w:val="15"/>
            </w:numPr>
          </w:pPr>
          <w:r w:rsidRPr="005C1C36">
            <w:t xml:space="preserve">family functioning – 39% of clients with disabilities compared to 31% without </w:t>
          </w:r>
          <w:r w:rsidRPr="005C1C36" w:rsidDel="003C0358">
            <w:t xml:space="preserve">a </w:t>
          </w:r>
          <w:r w:rsidRPr="005C1C36">
            <w:t>disability.</w:t>
          </w:r>
        </w:p>
        <w:p w14:paraId="68CC5219" w14:textId="0709ADF7" w:rsidR="00632AF4" w:rsidRDefault="00632AF4" w:rsidP="00632AF4">
          <w:pPr>
            <w:pStyle w:val="Heading3"/>
          </w:pPr>
          <w:r>
            <w:t xml:space="preserve">Clients </w:t>
          </w:r>
          <w:r w:rsidR="00816982">
            <w:t>a</w:t>
          </w:r>
          <w:r>
            <w:t xml:space="preserve">ged </w:t>
          </w:r>
          <w:r w:rsidR="00816982">
            <w:t>o</w:t>
          </w:r>
          <w:r>
            <w:t>ver 55</w:t>
          </w:r>
        </w:p>
        <w:p w14:paraId="01766C71" w14:textId="77777777" w:rsidR="00632AF4" w:rsidRDefault="00632AF4" w:rsidP="00632AF4">
          <w:r>
            <w:t>Only 97 clients (0.05%) were aged over 55, experiencing family violence and accessing Drummond Street’s services during the COVID-19 period. Compared to younger clients, this cohort had a slightly lower risk of homelessness and AOD-related needs. They also had a much lower risk of financial insecurity and social isolation.</w:t>
          </w:r>
        </w:p>
        <w:p w14:paraId="372AD8FC" w14:textId="310D46DA" w:rsidR="00632AF4" w:rsidRDefault="00632AF4" w:rsidP="00632AF4">
          <w:pPr>
            <w:pStyle w:val="Heading4"/>
          </w:pPr>
          <w:r>
            <w:t>Co-</w:t>
          </w:r>
          <w:r w:rsidR="00816982">
            <w:t>o</w:t>
          </w:r>
          <w:r>
            <w:t xml:space="preserve">ccurring </w:t>
          </w:r>
          <w:r w:rsidR="00816982">
            <w:t>n</w:t>
          </w:r>
          <w:r>
            <w:t>eeds</w:t>
          </w:r>
        </w:p>
        <w:p w14:paraId="01D2FC4A" w14:textId="77777777" w:rsidR="00632AF4" w:rsidRDefault="00632AF4" w:rsidP="00632AF4">
          <w:r>
            <w:t>Of Drummond Street’s clients who were aged over 55:</w:t>
          </w:r>
        </w:p>
        <w:p w14:paraId="16255F6E" w14:textId="77777777" w:rsidR="00632AF4" w:rsidRPr="005C1C36" w:rsidRDefault="00632AF4" w:rsidP="00717082">
          <w:pPr>
            <w:pStyle w:val="ListParagraph"/>
            <w:numPr>
              <w:ilvl w:val="0"/>
              <w:numId w:val="16"/>
            </w:numPr>
          </w:pPr>
          <w:r w:rsidRPr="005C1C36">
            <w:t>18% (n=17) reported risk of homelessness, which was 1.3 times lower than clients aged under 55 (22%)</w:t>
          </w:r>
        </w:p>
        <w:p w14:paraId="32CAA973" w14:textId="77777777" w:rsidR="00632AF4" w:rsidRPr="005C1C36" w:rsidRDefault="00632AF4" w:rsidP="00717082">
          <w:pPr>
            <w:pStyle w:val="ListParagraph"/>
            <w:numPr>
              <w:ilvl w:val="0"/>
              <w:numId w:val="16"/>
            </w:numPr>
          </w:pPr>
          <w:r w:rsidRPr="005C1C36">
            <w:t>35% (n=34) reported financial insecurity, which was 1.6 times lower than clients aged under 55 (46%)</w:t>
          </w:r>
        </w:p>
        <w:p w14:paraId="23D36AE2" w14:textId="77777777" w:rsidR="00632AF4" w:rsidRPr="005C1C36" w:rsidRDefault="00632AF4" w:rsidP="00717082">
          <w:pPr>
            <w:pStyle w:val="ListParagraph"/>
            <w:numPr>
              <w:ilvl w:val="0"/>
              <w:numId w:val="16"/>
            </w:numPr>
          </w:pPr>
          <w:r w:rsidRPr="005C1C36">
            <w:t>12% (n=12) reported AOD-related needs, which was slightly lower than clients aged under 55 (15%)</w:t>
          </w:r>
        </w:p>
        <w:p w14:paraId="00B82C3C" w14:textId="77777777" w:rsidR="00632AF4" w:rsidRPr="005C1C36" w:rsidRDefault="00632AF4" w:rsidP="00717082">
          <w:pPr>
            <w:pStyle w:val="ListParagraph"/>
            <w:numPr>
              <w:ilvl w:val="0"/>
              <w:numId w:val="16"/>
            </w:numPr>
          </w:pPr>
          <w:r w:rsidRPr="005C1C36">
            <w:t>94% (n=91) reported mental health needs, which was the same for clients aged under 55 (94%)</w:t>
          </w:r>
        </w:p>
        <w:p w14:paraId="79205BB3" w14:textId="3DC1A587" w:rsidR="00632AF4" w:rsidRDefault="00632AF4" w:rsidP="00717082">
          <w:pPr>
            <w:pStyle w:val="ListParagraph"/>
            <w:numPr>
              <w:ilvl w:val="0"/>
              <w:numId w:val="16"/>
            </w:numPr>
          </w:pPr>
          <w:r w:rsidRPr="005C1C36">
            <w:t>61% (n=38) reported social isolation, which was 1.6 times lower than clients aged under 55 (51%).</w:t>
          </w:r>
        </w:p>
        <w:p w14:paraId="696ADB12" w14:textId="77777777" w:rsidR="00632AF4" w:rsidRDefault="00632AF4" w:rsidP="00632AF4">
          <w:r>
            <w:t>Compared to younger clients, clients aged over 55 accessing Drummond Street were less likely to be from single parented households (22% compared to 31%) but more likely to have children (24% compared to 15%).</w:t>
          </w:r>
        </w:p>
        <w:p w14:paraId="43633F7E" w14:textId="1818EA45" w:rsidR="00632AF4" w:rsidRDefault="00632AF4" w:rsidP="00632AF4">
          <w:pPr>
            <w:pStyle w:val="Heading4"/>
          </w:pPr>
          <w:r>
            <w:t xml:space="preserve">Primary </w:t>
          </w:r>
          <w:r w:rsidR="000A167B">
            <w:t>r</w:t>
          </w:r>
          <w:r>
            <w:t xml:space="preserve">easons for </w:t>
          </w:r>
          <w:r w:rsidR="00816982">
            <w:t>s</w:t>
          </w:r>
          <w:r>
            <w:t xml:space="preserve">eeking </w:t>
          </w:r>
          <w:r w:rsidR="00816982">
            <w:t>a</w:t>
          </w:r>
          <w:r>
            <w:t>ssistance</w:t>
          </w:r>
        </w:p>
        <w:p w14:paraId="5187AB93" w14:textId="77777777" w:rsidR="00632AF4" w:rsidRDefault="00632AF4" w:rsidP="00632AF4">
          <w:r>
            <w:t>Clients aged over 55 were less likely to be seeking assistance primarily for family functioning (62% of individuals aged over 55 compared to 68% aged under 55) but more so for mental health (58% of individuals aged over 55 compared to 53% aged under).</w:t>
          </w:r>
        </w:p>
        <w:p w14:paraId="5CCE0855" w14:textId="4F05518D" w:rsidR="00632AF4" w:rsidRDefault="00632AF4" w:rsidP="00632AF4">
          <w:pPr>
            <w:pStyle w:val="Heading3"/>
          </w:pPr>
          <w:r>
            <w:t xml:space="preserve">Clients </w:t>
          </w:r>
          <w:r w:rsidR="00D07C52">
            <w:t>a</w:t>
          </w:r>
          <w:r>
            <w:t xml:space="preserve">ged </w:t>
          </w:r>
          <w:r w:rsidR="00D07C52">
            <w:t>u</w:t>
          </w:r>
          <w:r>
            <w:t>nder 25</w:t>
          </w:r>
        </w:p>
        <w:p w14:paraId="67228E3A" w14:textId="77777777" w:rsidR="00632AF4" w:rsidRDefault="00632AF4" w:rsidP="00632AF4">
          <w:r>
            <w:t>There were 946 clients (47%) aged under 25, experiencing family violence and accessing Drummond Street</w:t>
          </w:r>
          <w:r w:rsidDel="000D3A5F">
            <w:t xml:space="preserve"> </w:t>
          </w:r>
          <w:r>
            <w:t>during the COVID-19 period. The majority of clients aged under 25 were children, with the average age being 11 years. Children are more commonly attached to a parent case than they are seeking out services individually.</w:t>
          </w:r>
        </w:p>
        <w:p w14:paraId="33B72FBF" w14:textId="77777777" w:rsidR="00632AF4" w:rsidRDefault="00632AF4" w:rsidP="00632AF4">
          <w:r>
            <w:t>Compared to clients aged 25 and over, this cohort had a slightly higher risk of homelessness, a lower risk of financial insecurity (which may be a poorly reported field for younger clients), and much higher needs for mental health and social isolation.</w:t>
          </w:r>
        </w:p>
        <w:p w14:paraId="15AF82B6" w14:textId="291B5CFF" w:rsidR="00632AF4" w:rsidRDefault="00632AF4" w:rsidP="00632AF4">
          <w:pPr>
            <w:pStyle w:val="Heading4"/>
          </w:pPr>
          <w:r>
            <w:t xml:space="preserve">Data </w:t>
          </w:r>
          <w:r w:rsidR="00D07C52">
            <w:t>c</w:t>
          </w:r>
          <w:r>
            <w:t xml:space="preserve">ollection </w:t>
          </w:r>
          <w:r w:rsidR="00D07C52">
            <w:t>i</w:t>
          </w:r>
          <w:r>
            <w:t>ssues</w:t>
          </w:r>
        </w:p>
        <w:p w14:paraId="09364F2C" w14:textId="53D41A15" w:rsidR="00632AF4" w:rsidRDefault="00632AF4" w:rsidP="00632AF4">
          <w:r>
            <w:t>Client needs for those aged under 25 are either poorly completed (e.g., specifically around financial needs of the family) or are more reflective of the parents’ service support needs. Notably, there was a reduction of attention to child needs during the COVID-19 period, where there was a reduction in recorded child issues and referrals for child issues (see</w:t>
          </w:r>
          <w:r w:rsidR="00717082">
            <w:t xml:space="preserve"> the section</w:t>
          </w:r>
          <w:r>
            <w:t xml:space="preserve"> </w:t>
          </w:r>
          <w:hyperlink w:anchor="_Co-occurring_needs" w:history="1">
            <w:r w:rsidRPr="00717082">
              <w:rPr>
                <w:rStyle w:val="Hyperlink"/>
                <w:rFonts w:asciiTheme="majorHAnsi" w:hAnsiTheme="majorHAnsi"/>
                <w:b/>
                <w:bCs/>
              </w:rPr>
              <w:t xml:space="preserve">Comparisons </w:t>
            </w:r>
            <w:r w:rsidR="00717082" w:rsidRPr="00717082">
              <w:rPr>
                <w:rStyle w:val="Hyperlink"/>
                <w:rFonts w:asciiTheme="majorHAnsi" w:hAnsiTheme="majorHAnsi"/>
                <w:b/>
                <w:bCs/>
              </w:rPr>
              <w:t>p</w:t>
            </w:r>
            <w:r w:rsidRPr="00717082">
              <w:rPr>
                <w:rStyle w:val="Hyperlink"/>
                <w:rFonts w:asciiTheme="majorHAnsi" w:hAnsiTheme="majorHAnsi"/>
                <w:b/>
                <w:bCs/>
              </w:rPr>
              <w:t xml:space="preserve">rior to and </w:t>
            </w:r>
            <w:r w:rsidR="00717082" w:rsidRPr="00717082">
              <w:rPr>
                <w:rStyle w:val="Hyperlink"/>
                <w:rFonts w:asciiTheme="majorHAnsi" w:hAnsiTheme="majorHAnsi"/>
                <w:b/>
                <w:bCs/>
              </w:rPr>
              <w:t>d</w:t>
            </w:r>
            <w:r w:rsidRPr="00717082">
              <w:rPr>
                <w:rStyle w:val="Hyperlink"/>
                <w:rFonts w:asciiTheme="majorHAnsi" w:hAnsiTheme="majorHAnsi"/>
                <w:b/>
                <w:bCs/>
              </w:rPr>
              <w:t>uring COVID-19: Co-</w:t>
            </w:r>
            <w:r w:rsidR="00717082" w:rsidRPr="00717082">
              <w:rPr>
                <w:rStyle w:val="Hyperlink"/>
                <w:rFonts w:asciiTheme="majorHAnsi" w:hAnsiTheme="majorHAnsi"/>
                <w:b/>
                <w:bCs/>
              </w:rPr>
              <w:t>o</w:t>
            </w:r>
            <w:r w:rsidRPr="00717082">
              <w:rPr>
                <w:rStyle w:val="Hyperlink"/>
                <w:rFonts w:asciiTheme="majorHAnsi" w:hAnsiTheme="majorHAnsi"/>
                <w:b/>
                <w:bCs/>
              </w:rPr>
              <w:t xml:space="preserve">ccurring </w:t>
            </w:r>
            <w:r w:rsidR="00717082" w:rsidRPr="00717082">
              <w:rPr>
                <w:rStyle w:val="Hyperlink"/>
                <w:rFonts w:asciiTheme="majorHAnsi" w:hAnsiTheme="majorHAnsi"/>
                <w:b/>
                <w:bCs/>
              </w:rPr>
              <w:t>n</w:t>
            </w:r>
            <w:r w:rsidRPr="00717082">
              <w:rPr>
                <w:rStyle w:val="Hyperlink"/>
                <w:rFonts w:asciiTheme="majorHAnsi" w:hAnsiTheme="majorHAnsi"/>
                <w:b/>
                <w:bCs/>
              </w:rPr>
              <w:t>eeds</w:t>
            </w:r>
          </w:hyperlink>
          <w:r w:rsidRPr="00B659F8">
            <w:rPr>
              <w:rFonts w:asciiTheme="minorHAnsi" w:hAnsiTheme="minorHAnsi"/>
            </w:rPr>
            <w:t xml:space="preserve"> on page</w:t>
          </w:r>
          <w:r w:rsidR="00717082">
            <w:rPr>
              <w:rFonts w:asciiTheme="minorHAnsi" w:hAnsiTheme="minorHAnsi"/>
            </w:rPr>
            <w:t xml:space="preserve"> 30</w:t>
          </w:r>
          <w:r>
            <w:t>).</w:t>
          </w:r>
        </w:p>
        <w:p w14:paraId="0387F04D" w14:textId="29BEB974" w:rsidR="00632AF4" w:rsidRDefault="00632AF4" w:rsidP="00632AF4">
          <w:pPr>
            <w:pStyle w:val="Heading4"/>
          </w:pPr>
          <w:r>
            <w:t>Co-</w:t>
          </w:r>
          <w:r w:rsidR="00D07C52">
            <w:t>o</w:t>
          </w:r>
          <w:r>
            <w:t xml:space="preserve">ccurring </w:t>
          </w:r>
          <w:r w:rsidR="00D07C52">
            <w:t>n</w:t>
          </w:r>
          <w:r>
            <w:t>eeds</w:t>
          </w:r>
        </w:p>
        <w:p w14:paraId="111A7EFC" w14:textId="77777777" w:rsidR="00632AF4" w:rsidRDefault="00632AF4" w:rsidP="00632AF4">
          <w:r>
            <w:t>Of Drummond Street’s clients who were aged under 25:</w:t>
          </w:r>
        </w:p>
        <w:p w14:paraId="40864830" w14:textId="77777777" w:rsidR="00632AF4" w:rsidRPr="00BC12E7" w:rsidRDefault="00632AF4" w:rsidP="00717082">
          <w:pPr>
            <w:pStyle w:val="ListParagraph"/>
            <w:numPr>
              <w:ilvl w:val="0"/>
              <w:numId w:val="17"/>
            </w:numPr>
          </w:pPr>
          <w:r w:rsidRPr="00BC12E7">
            <w:t>18% (n=17) reported risk of homelessness, which was 1.3 times lower than clients aged 25 and over (22%)</w:t>
          </w:r>
        </w:p>
        <w:p w14:paraId="7A8C2D94" w14:textId="77777777" w:rsidR="00632AF4" w:rsidRPr="00BC12E7" w:rsidRDefault="00632AF4" w:rsidP="00717082">
          <w:pPr>
            <w:pStyle w:val="ListParagraph"/>
            <w:numPr>
              <w:ilvl w:val="0"/>
              <w:numId w:val="17"/>
            </w:numPr>
          </w:pPr>
          <w:r w:rsidRPr="00BC12E7">
            <w:t>35% (n=34) reported financial insecurity, which was 1.6 times lower than clients aged 25 and over (46%)</w:t>
          </w:r>
        </w:p>
        <w:p w14:paraId="6EBD864B" w14:textId="77777777" w:rsidR="00632AF4" w:rsidRPr="00BC12E7" w:rsidRDefault="00632AF4" w:rsidP="00717082">
          <w:pPr>
            <w:pStyle w:val="ListParagraph"/>
            <w:numPr>
              <w:ilvl w:val="0"/>
              <w:numId w:val="17"/>
            </w:numPr>
          </w:pPr>
          <w:r w:rsidRPr="00BC12E7">
            <w:t>12% (n=12) reported AOD-related needs, which was slightly lower clients aged 25 and over (15%)</w:t>
          </w:r>
        </w:p>
        <w:p w14:paraId="77D5CB14" w14:textId="77777777" w:rsidR="00632AF4" w:rsidRPr="00BC12E7" w:rsidRDefault="00632AF4" w:rsidP="00717082">
          <w:pPr>
            <w:pStyle w:val="ListParagraph"/>
            <w:numPr>
              <w:ilvl w:val="0"/>
              <w:numId w:val="17"/>
            </w:numPr>
          </w:pPr>
          <w:r w:rsidRPr="00BC12E7">
            <w:t>94% (n=91) reported mental health needs, which was the same for clients aged 25 and over (94%)</w:t>
          </w:r>
        </w:p>
        <w:p w14:paraId="5FDCA464" w14:textId="77777777" w:rsidR="00632AF4" w:rsidRPr="00BC12E7" w:rsidRDefault="00632AF4" w:rsidP="00717082">
          <w:pPr>
            <w:pStyle w:val="ListParagraph"/>
            <w:numPr>
              <w:ilvl w:val="0"/>
              <w:numId w:val="17"/>
            </w:numPr>
          </w:pPr>
          <w:r w:rsidRPr="00BC12E7">
            <w:t>61% (n=38) reported social isolation, which was 1.6 times lower than clients aged 25 and over (51%).</w:t>
          </w:r>
        </w:p>
        <w:p w14:paraId="39BC1746" w14:textId="77777777" w:rsidR="00632AF4" w:rsidRDefault="00632AF4" w:rsidP="00632AF4">
          <w:r>
            <w:t>Clients aged under 25 in Drummond Street’s services were more likely to be from single parented households (36% compared to 25%).</w:t>
          </w:r>
        </w:p>
        <w:p w14:paraId="075A0901" w14:textId="42A789D4" w:rsidR="00C55C15" w:rsidRDefault="00C55C15" w:rsidP="00C55C15">
          <w:pPr>
            <w:pStyle w:val="Heading4"/>
          </w:pPr>
          <w:r>
            <w:t>Primary reason for seeking assistance</w:t>
          </w:r>
        </w:p>
        <w:p w14:paraId="241830D3" w14:textId="77777777" w:rsidR="00C55C15" w:rsidRDefault="00C55C15" w:rsidP="00C55C15">
          <w:r>
            <w:t xml:space="preserve">Clients aged under 25 were more likely to be seeking assistance primarily for family functioning (51% of individuals aged under 25 compared to 39% aged 25 and over). Clients aged under 25 were also less likely to be seeking assistance primarily for personal and family safety (9%) compared to clients aged 25 and over (16%). </w:t>
          </w:r>
        </w:p>
        <w:p w14:paraId="4F15D0BD" w14:textId="55ECB85C" w:rsidR="00C55C15" w:rsidRDefault="00C55C15" w:rsidP="00C55C15">
          <w:pPr>
            <w:pStyle w:val="Heading3"/>
          </w:pPr>
          <w:r>
            <w:t>Single parented households</w:t>
          </w:r>
        </w:p>
        <w:p w14:paraId="12F5C472" w14:textId="77777777" w:rsidR="00C55C15" w:rsidRDefault="00C55C15" w:rsidP="00C55C15">
          <w:r>
            <w:t>There were 611 clients (30%) from single parented households (either as parents or children) who were experiencing family violence and accessing Drummond Street’s services during COVID-19. Compared to non-parents or co-parented households, this cohort had a slightly higher risk of homelessness, a lower risk of financial insecurity (which may be a poorly reported field for younger clients captured within this cohort), and much higher needs for mental health and social isolation.</w:t>
          </w:r>
        </w:p>
        <w:p w14:paraId="797DFE76" w14:textId="2AB0DBDB" w:rsidR="00C55C15" w:rsidRDefault="00C55C15" w:rsidP="00C55C15">
          <w:pPr>
            <w:pStyle w:val="Heading4"/>
          </w:pPr>
          <w:r>
            <w:t>Co-occurring needs</w:t>
          </w:r>
        </w:p>
        <w:p w14:paraId="7197E5C8" w14:textId="77777777" w:rsidR="00C55C15" w:rsidRDefault="00C55C15" w:rsidP="00C55C15">
          <w:r>
            <w:t>Of Drummond Street’s clients who were from single parented households:</w:t>
          </w:r>
        </w:p>
        <w:p w14:paraId="6B571FAA" w14:textId="77777777" w:rsidR="00C55C15" w:rsidRPr="00922E82" w:rsidRDefault="00C55C15" w:rsidP="00717082">
          <w:pPr>
            <w:pStyle w:val="ListParagraph"/>
            <w:numPr>
              <w:ilvl w:val="0"/>
              <w:numId w:val="18"/>
            </w:numPr>
          </w:pPr>
          <w:r w:rsidRPr="00922E82">
            <w:t>25% (n=155) reported risk of homelessness, which was 1.3 times higher than clients not in single parented households (21%)</w:t>
          </w:r>
        </w:p>
        <w:p w14:paraId="0866C043" w14:textId="77777777" w:rsidR="00C55C15" w:rsidRPr="00922E82" w:rsidRDefault="00C55C15" w:rsidP="00717082">
          <w:pPr>
            <w:pStyle w:val="ListParagraph"/>
            <w:numPr>
              <w:ilvl w:val="0"/>
              <w:numId w:val="18"/>
            </w:numPr>
          </w:pPr>
          <w:r w:rsidRPr="00922E82">
            <w:t>56% (n=344) reported financial insecurity, which was 1.9 times higher than clients not in single parented households (40%)</w:t>
          </w:r>
        </w:p>
        <w:p w14:paraId="68EA756C" w14:textId="77777777" w:rsidR="00C55C15" w:rsidRPr="00922E82" w:rsidRDefault="00C55C15" w:rsidP="00717082">
          <w:pPr>
            <w:pStyle w:val="ListParagraph"/>
            <w:numPr>
              <w:ilvl w:val="0"/>
              <w:numId w:val="18"/>
            </w:numPr>
          </w:pPr>
          <w:r w:rsidRPr="00922E82">
            <w:t>14% (n=86) reported AOD-related needs, which was slightly lower than clients not from single parented households (16%)</w:t>
          </w:r>
        </w:p>
        <w:p w14:paraId="05A79B16" w14:textId="77777777" w:rsidR="00C55C15" w:rsidRPr="00922E82" w:rsidRDefault="00C55C15" w:rsidP="00717082">
          <w:pPr>
            <w:pStyle w:val="ListParagraph"/>
            <w:numPr>
              <w:ilvl w:val="0"/>
              <w:numId w:val="18"/>
            </w:numPr>
          </w:pPr>
          <w:r w:rsidRPr="00922E82">
            <w:t>97% (n=595) reported mental health needs which was 2.6 times higher than clients not from single parented households (92%)</w:t>
          </w:r>
        </w:p>
        <w:p w14:paraId="09F54F39" w14:textId="77777777" w:rsidR="00C55C15" w:rsidRPr="00922E82" w:rsidRDefault="00C55C15" w:rsidP="00717082">
          <w:pPr>
            <w:pStyle w:val="ListParagraph"/>
            <w:numPr>
              <w:ilvl w:val="0"/>
              <w:numId w:val="18"/>
            </w:numPr>
          </w:pPr>
          <w:r w:rsidRPr="00922E82">
            <w:t>59% (n=362) reported social isolation, which was 1.6 times higher than clients not from single parented households (47%)</w:t>
          </w:r>
        </w:p>
        <w:p w14:paraId="22ECE1F9" w14:textId="77777777" w:rsidR="00C55C15" w:rsidRPr="00922E82" w:rsidRDefault="00C55C15" w:rsidP="00717082">
          <w:pPr>
            <w:pStyle w:val="ListParagraph"/>
            <w:numPr>
              <w:ilvl w:val="0"/>
              <w:numId w:val="18"/>
            </w:numPr>
          </w:pPr>
          <w:r w:rsidRPr="00922E82">
            <w:t xml:space="preserve">19% (n=118) spoke a first language that was not English – of this cohort, 70% (n=83) were experiencing financial insecurity and 53% (n=62) were at risk of homelessness. </w:t>
          </w:r>
        </w:p>
        <w:p w14:paraId="01741083" w14:textId="77777777" w:rsidR="00C55C15" w:rsidRDefault="00C55C15" w:rsidP="00C55C15">
          <w:r>
            <w:t>The adults in this cohort aged over 25 were more likely to be women (88%) and 19% were living with disabilities. Single parents over 25 with disabilities (n=50) had very high rates of:</w:t>
          </w:r>
        </w:p>
        <w:p w14:paraId="5CAA16E7" w14:textId="77777777" w:rsidR="00C55C15" w:rsidRPr="00922E82" w:rsidRDefault="00C55C15" w:rsidP="00717082">
          <w:pPr>
            <w:pStyle w:val="ListParagraph"/>
            <w:numPr>
              <w:ilvl w:val="0"/>
              <w:numId w:val="19"/>
            </w:numPr>
          </w:pPr>
          <w:r w:rsidRPr="00922E82">
            <w:t>financial insecurity –</w:t>
          </w:r>
          <w:r w:rsidRPr="00922E82" w:rsidDel="00322CA6">
            <w:t xml:space="preserve"> </w:t>
          </w:r>
          <w:r w:rsidRPr="00922E82">
            <w:t>70% (n=35)</w:t>
          </w:r>
        </w:p>
        <w:p w14:paraId="043D874C" w14:textId="77777777" w:rsidR="00C55C15" w:rsidRPr="00922E82" w:rsidRDefault="00C55C15" w:rsidP="00717082">
          <w:pPr>
            <w:pStyle w:val="ListParagraph"/>
            <w:numPr>
              <w:ilvl w:val="0"/>
              <w:numId w:val="19"/>
            </w:numPr>
          </w:pPr>
          <w:r w:rsidRPr="00922E82">
            <w:t>mental health needs –</w:t>
          </w:r>
          <w:r w:rsidRPr="00922E82" w:rsidDel="00322CA6">
            <w:t xml:space="preserve"> </w:t>
          </w:r>
          <w:r w:rsidRPr="00922E82">
            <w:t>100% (n=50)</w:t>
          </w:r>
        </w:p>
        <w:p w14:paraId="477C125A" w14:textId="77777777" w:rsidR="00C55C15" w:rsidRPr="00922E82" w:rsidRDefault="00C55C15" w:rsidP="00717082">
          <w:pPr>
            <w:pStyle w:val="ListParagraph"/>
            <w:numPr>
              <w:ilvl w:val="0"/>
              <w:numId w:val="19"/>
            </w:numPr>
          </w:pPr>
          <w:r w:rsidRPr="00922E82">
            <w:t>experiences of social isolation –</w:t>
          </w:r>
          <w:r w:rsidRPr="00922E82" w:rsidDel="00322CA6">
            <w:t xml:space="preserve"> </w:t>
          </w:r>
          <w:r w:rsidRPr="00922E82">
            <w:t>66% (n=33).</w:t>
          </w:r>
        </w:p>
        <w:p w14:paraId="4B92C40E" w14:textId="77777777" w:rsidR="00922E82" w:rsidRDefault="00922E82" w:rsidP="00922E82">
          <w:pPr>
            <w:pStyle w:val="Heading4"/>
          </w:pPr>
          <w:r>
            <w:t>Primary reason for seeking assistance</w:t>
          </w:r>
        </w:p>
        <w:p w14:paraId="021CB11D" w14:textId="77777777" w:rsidR="00C55C15" w:rsidRDefault="00C55C15" w:rsidP="00C55C15">
          <w:r>
            <w:t>Clients from single parented households sought assistance for family functioning more frequently than clients not from single parented households (78% and 63% respectively).</w:t>
          </w:r>
        </w:p>
        <w:p w14:paraId="21C34B87" w14:textId="7B3826E9" w:rsidR="00C55C15" w:rsidRDefault="00C55C15" w:rsidP="00C55C15">
          <w:pPr>
            <w:pStyle w:val="Heading3"/>
          </w:pPr>
          <w:r>
            <w:t xml:space="preserve">Clients by </w:t>
          </w:r>
          <w:r w:rsidR="00922E82">
            <w:t>g</w:t>
          </w:r>
          <w:r>
            <w:t>ender</w:t>
          </w:r>
        </w:p>
        <w:p w14:paraId="5C35310B" w14:textId="055D9F2E" w:rsidR="00C55C15" w:rsidRDefault="00C55C15" w:rsidP="00C55C15">
          <w:r>
            <w:t>Across Drummond Street’s adult and child clients, the majority of clients were cisgender (cis) women and girls.</w:t>
          </w:r>
          <w:r w:rsidR="00983BD1">
            <w:t xml:space="preserve"> </w:t>
          </w:r>
          <w:r>
            <w:t>Of the adult clients:</w:t>
          </w:r>
        </w:p>
        <w:p w14:paraId="7FA749E9" w14:textId="77777777" w:rsidR="00C55C15" w:rsidRPr="00922E82" w:rsidRDefault="00C55C15" w:rsidP="00717082">
          <w:pPr>
            <w:pStyle w:val="ListParagraph"/>
            <w:numPr>
              <w:ilvl w:val="0"/>
              <w:numId w:val="20"/>
            </w:numPr>
          </w:pPr>
          <w:r w:rsidRPr="00922E82">
            <w:t>61% were cis women</w:t>
          </w:r>
        </w:p>
        <w:p w14:paraId="4FCB6475" w14:textId="77777777" w:rsidR="00C55C15" w:rsidRPr="00922E82" w:rsidRDefault="00C55C15" w:rsidP="00717082">
          <w:pPr>
            <w:pStyle w:val="ListParagraph"/>
            <w:numPr>
              <w:ilvl w:val="0"/>
              <w:numId w:val="20"/>
            </w:numPr>
          </w:pPr>
          <w:r w:rsidRPr="00922E82">
            <w:t>22% were cis men</w:t>
          </w:r>
        </w:p>
        <w:p w14:paraId="48D9BD3C" w14:textId="77777777" w:rsidR="00C55C15" w:rsidRPr="00922E82" w:rsidRDefault="00C55C15" w:rsidP="00717082">
          <w:pPr>
            <w:pStyle w:val="ListParagraph"/>
            <w:numPr>
              <w:ilvl w:val="0"/>
              <w:numId w:val="20"/>
            </w:numPr>
          </w:pPr>
          <w:r w:rsidRPr="00922E82">
            <w:t>6% were non-binary</w:t>
          </w:r>
        </w:p>
        <w:p w14:paraId="643D93BE" w14:textId="77777777" w:rsidR="00C55C15" w:rsidRPr="00922E82" w:rsidRDefault="00C55C15" w:rsidP="00717082">
          <w:pPr>
            <w:pStyle w:val="ListParagraph"/>
            <w:numPr>
              <w:ilvl w:val="0"/>
              <w:numId w:val="20"/>
            </w:numPr>
          </w:pPr>
          <w:r w:rsidRPr="00922E82">
            <w:t>3% were trans women</w:t>
          </w:r>
        </w:p>
        <w:p w14:paraId="2959BDE9" w14:textId="77777777" w:rsidR="00C55C15" w:rsidRPr="00922E82" w:rsidRDefault="00C55C15" w:rsidP="00717082">
          <w:pPr>
            <w:pStyle w:val="ListParagraph"/>
            <w:numPr>
              <w:ilvl w:val="0"/>
              <w:numId w:val="20"/>
            </w:numPr>
          </w:pPr>
          <w:r w:rsidRPr="00922E82">
            <w:t>2% were trans men.</w:t>
          </w:r>
        </w:p>
        <w:p w14:paraId="72D75DF8" w14:textId="77777777" w:rsidR="00C55C15" w:rsidRDefault="00C55C15" w:rsidP="00C55C15">
          <w:r>
            <w:t>This fairly high proportion of cis men recorded in the statistics aligns with Drummond Street’s service offerings, including:</w:t>
          </w:r>
        </w:p>
        <w:p w14:paraId="4B3CFA7D" w14:textId="77777777" w:rsidR="00C55C15" w:rsidRPr="00922E82" w:rsidRDefault="00C55C15" w:rsidP="00717082">
          <w:pPr>
            <w:pStyle w:val="ListParagraph"/>
            <w:numPr>
              <w:ilvl w:val="0"/>
              <w:numId w:val="21"/>
            </w:numPr>
          </w:pPr>
          <w:r w:rsidRPr="00922E82">
            <w:t>specialist family violence support for LGBTIQ+ communities</w:t>
          </w:r>
        </w:p>
        <w:p w14:paraId="7D626FF0" w14:textId="77777777" w:rsidR="00C55C15" w:rsidRPr="00922E82" w:rsidRDefault="00C55C15" w:rsidP="00717082">
          <w:pPr>
            <w:pStyle w:val="ListParagraph"/>
            <w:numPr>
              <w:ilvl w:val="0"/>
              <w:numId w:val="21"/>
            </w:numPr>
          </w:pPr>
          <w:r w:rsidRPr="00922E82">
            <w:t>a program for adolescents using violence in the home</w:t>
          </w:r>
        </w:p>
        <w:p w14:paraId="446D44EC" w14:textId="77777777" w:rsidR="00C55C15" w:rsidRPr="00922E82" w:rsidRDefault="00C55C15" w:rsidP="00717082">
          <w:pPr>
            <w:pStyle w:val="ListParagraph"/>
            <w:numPr>
              <w:ilvl w:val="0"/>
              <w:numId w:val="21"/>
            </w:numPr>
          </w:pPr>
          <w:r w:rsidRPr="00922E82">
            <w:t>programs for women and trans and gender diverse people using force or violence in the home</w:t>
          </w:r>
        </w:p>
        <w:p w14:paraId="2EF9D998" w14:textId="77777777" w:rsidR="00C55C15" w:rsidRPr="00922E82" w:rsidRDefault="00C55C15" w:rsidP="00717082">
          <w:pPr>
            <w:pStyle w:val="ListParagraph"/>
            <w:numPr>
              <w:ilvl w:val="0"/>
              <w:numId w:val="21"/>
            </w:numPr>
          </w:pPr>
          <w:r w:rsidRPr="00922E82">
            <w:t>family support services, including during the transition to parenthood for all parents.</w:t>
          </w:r>
        </w:p>
        <w:p w14:paraId="3318A6EB" w14:textId="77777777" w:rsidR="00B40561" w:rsidRDefault="00B40561" w:rsidP="00B40561">
          <w:pPr>
            <w:pStyle w:val="Heading4"/>
          </w:pPr>
          <w:r>
            <w:t>Co-occurring needs</w:t>
          </w:r>
        </w:p>
        <w:p w14:paraId="2BE6F23B" w14:textId="61696946" w:rsidR="006B44DF" w:rsidRDefault="00B40561" w:rsidP="00717082">
          <w:pPr>
            <w:pStyle w:val="ListParagraph"/>
            <w:numPr>
              <w:ilvl w:val="0"/>
              <w:numId w:val="94"/>
            </w:numPr>
          </w:pPr>
          <w:r>
            <w:t xml:space="preserve">Of </w:t>
          </w:r>
          <w:r w:rsidR="00C37CEF">
            <w:t xml:space="preserve">Drummond Street’s </w:t>
          </w:r>
          <w:r w:rsidR="00815E1F">
            <w:t xml:space="preserve">clients who were </w:t>
          </w:r>
          <w:r w:rsidR="00C37CEF">
            <w:t>c</w:t>
          </w:r>
          <w:r w:rsidR="00AE5C01">
            <w:t>is wom</w:t>
          </w:r>
          <w:r w:rsidR="002A0425">
            <w:t>e</w:t>
          </w:r>
          <w:r w:rsidR="00AE5C01">
            <w:t xml:space="preserve">n </w:t>
          </w:r>
          <w:r w:rsidR="00815E1F">
            <w:t xml:space="preserve">or </w:t>
          </w:r>
          <w:r w:rsidR="00AE5C01">
            <w:t>girl</w:t>
          </w:r>
          <w:r w:rsidR="00815E1F">
            <w:t>s</w:t>
          </w:r>
          <w:r w:rsidR="00441CEA">
            <w:t xml:space="preserve"> (42% or 844 of clients)</w:t>
          </w:r>
          <w:r w:rsidR="006B44DF">
            <w:t>:</w:t>
          </w:r>
        </w:p>
        <w:p w14:paraId="2957BD19" w14:textId="51EA6504" w:rsidR="006B44DF" w:rsidRDefault="00AE5C01" w:rsidP="00717082">
          <w:pPr>
            <w:pStyle w:val="ListParagraph"/>
            <w:numPr>
              <w:ilvl w:val="1"/>
              <w:numId w:val="94"/>
            </w:numPr>
          </w:pPr>
          <w:r>
            <w:t xml:space="preserve">21% </w:t>
          </w:r>
          <w:r w:rsidR="003E554D">
            <w:t>had a</w:t>
          </w:r>
          <w:r>
            <w:t xml:space="preserve"> risk of homelessness</w:t>
          </w:r>
        </w:p>
        <w:p w14:paraId="4D73EEF3" w14:textId="1BDBF807" w:rsidR="006B44DF" w:rsidRDefault="00AE5C01" w:rsidP="00717082">
          <w:pPr>
            <w:pStyle w:val="ListParagraph"/>
            <w:numPr>
              <w:ilvl w:val="1"/>
              <w:numId w:val="94"/>
            </w:numPr>
          </w:pPr>
          <w:r>
            <w:t xml:space="preserve">46% </w:t>
          </w:r>
          <w:r w:rsidR="003E554D">
            <w:t xml:space="preserve">were experiencing </w:t>
          </w:r>
          <w:r>
            <w:t>financial insecurity</w:t>
          </w:r>
        </w:p>
        <w:p w14:paraId="310F60DB" w14:textId="5A065CDA" w:rsidR="006B44DF" w:rsidRDefault="00AE5C01" w:rsidP="00717082">
          <w:pPr>
            <w:pStyle w:val="ListParagraph"/>
            <w:numPr>
              <w:ilvl w:val="1"/>
              <w:numId w:val="94"/>
            </w:numPr>
          </w:pPr>
          <w:r>
            <w:t xml:space="preserve">14% </w:t>
          </w:r>
          <w:r w:rsidR="003E554D">
            <w:t xml:space="preserve">had </w:t>
          </w:r>
          <w:r>
            <w:t>AOD</w:t>
          </w:r>
          <w:r w:rsidR="006B44DF">
            <w:t>-</w:t>
          </w:r>
          <w:r>
            <w:t>related need</w:t>
          </w:r>
          <w:r w:rsidR="006B44DF">
            <w:t>s</w:t>
          </w:r>
        </w:p>
        <w:p w14:paraId="67CA7819" w14:textId="3C047383" w:rsidR="006B44DF" w:rsidRDefault="00AE5C01" w:rsidP="00717082">
          <w:pPr>
            <w:pStyle w:val="ListParagraph"/>
            <w:numPr>
              <w:ilvl w:val="1"/>
              <w:numId w:val="94"/>
            </w:numPr>
          </w:pPr>
          <w:r>
            <w:t xml:space="preserve">92% </w:t>
          </w:r>
          <w:r w:rsidR="003E554D">
            <w:t xml:space="preserve">had </w:t>
          </w:r>
          <w:r>
            <w:t xml:space="preserve">mental </w:t>
          </w:r>
          <w:r w:rsidR="00F95AA8">
            <w:t>health needs</w:t>
          </w:r>
        </w:p>
        <w:p w14:paraId="53C86009" w14:textId="54386B50" w:rsidR="00B40561" w:rsidRDefault="00F95AA8" w:rsidP="00717082">
          <w:pPr>
            <w:pStyle w:val="ListParagraph"/>
            <w:numPr>
              <w:ilvl w:val="1"/>
              <w:numId w:val="94"/>
            </w:numPr>
          </w:pPr>
          <w:r>
            <w:t xml:space="preserve">50% </w:t>
          </w:r>
          <w:r w:rsidR="003E554D">
            <w:t xml:space="preserve">were experiencing </w:t>
          </w:r>
          <w:r>
            <w:t xml:space="preserve">social isolation. </w:t>
          </w:r>
        </w:p>
        <w:p w14:paraId="6EE5A9D6" w14:textId="4B3D4DCE" w:rsidR="006F1DD2" w:rsidRDefault="006F1DD2" w:rsidP="00717082">
          <w:pPr>
            <w:pStyle w:val="ListParagraph"/>
            <w:numPr>
              <w:ilvl w:val="0"/>
              <w:numId w:val="94"/>
            </w:numPr>
          </w:pPr>
          <w:r>
            <w:t>Of Drummond Street’s</w:t>
          </w:r>
          <w:r w:rsidR="006B44DF">
            <w:t xml:space="preserve"> </w:t>
          </w:r>
          <w:r w:rsidR="00815E1F">
            <w:t xml:space="preserve">clients who were </w:t>
          </w:r>
          <w:r w:rsidR="006B44DF">
            <w:t xml:space="preserve">trans women </w:t>
          </w:r>
          <w:r w:rsidR="00815E1F">
            <w:t xml:space="preserve">or </w:t>
          </w:r>
          <w:r w:rsidR="006B44DF">
            <w:t>girl</w:t>
          </w:r>
          <w:r w:rsidR="00815E1F">
            <w:t>s</w:t>
          </w:r>
          <w:r w:rsidR="00441CEA">
            <w:t xml:space="preserve"> (2% or 45 of clients)</w:t>
          </w:r>
          <w:r w:rsidR="006B44DF">
            <w:t>:</w:t>
          </w:r>
        </w:p>
        <w:p w14:paraId="1B08994F" w14:textId="24AC0DAB" w:rsidR="006B44DF" w:rsidRDefault="003E554D" w:rsidP="00717082">
          <w:pPr>
            <w:pStyle w:val="ListParagraph"/>
            <w:numPr>
              <w:ilvl w:val="1"/>
              <w:numId w:val="94"/>
            </w:numPr>
          </w:pPr>
          <w:r>
            <w:t>29</w:t>
          </w:r>
          <w:r w:rsidR="006B44DF">
            <w:t xml:space="preserve">% </w:t>
          </w:r>
          <w:r w:rsidR="005F07F9">
            <w:t>had a</w:t>
          </w:r>
          <w:r w:rsidR="006B44DF">
            <w:t xml:space="preserve"> risk of homelessness</w:t>
          </w:r>
        </w:p>
        <w:p w14:paraId="6BC66681" w14:textId="4B1A0C52" w:rsidR="006B44DF" w:rsidRDefault="003E554D" w:rsidP="00717082">
          <w:pPr>
            <w:pStyle w:val="ListParagraph"/>
            <w:numPr>
              <w:ilvl w:val="1"/>
              <w:numId w:val="94"/>
            </w:numPr>
          </w:pPr>
          <w:r>
            <w:t>40</w:t>
          </w:r>
          <w:r w:rsidR="006B44DF">
            <w:t xml:space="preserve">% </w:t>
          </w:r>
          <w:r w:rsidR="005F07F9">
            <w:t xml:space="preserve">were experiencing </w:t>
          </w:r>
          <w:r w:rsidR="006B44DF">
            <w:t>financial insecurity</w:t>
          </w:r>
        </w:p>
        <w:p w14:paraId="224C7444" w14:textId="2D1EBEAC" w:rsidR="006B44DF" w:rsidRDefault="003E554D" w:rsidP="00717082">
          <w:pPr>
            <w:pStyle w:val="ListParagraph"/>
            <w:numPr>
              <w:ilvl w:val="1"/>
              <w:numId w:val="94"/>
            </w:numPr>
          </w:pPr>
          <w:r>
            <w:t>22</w:t>
          </w:r>
          <w:r w:rsidR="006B44DF">
            <w:t xml:space="preserve">% </w:t>
          </w:r>
          <w:r w:rsidR="005F07F9">
            <w:t>had AOD-related needs</w:t>
          </w:r>
        </w:p>
        <w:p w14:paraId="7C83806F" w14:textId="10465A93" w:rsidR="005F07F9" w:rsidRDefault="003E554D" w:rsidP="00717082">
          <w:pPr>
            <w:pStyle w:val="ListParagraph"/>
            <w:numPr>
              <w:ilvl w:val="1"/>
              <w:numId w:val="94"/>
            </w:numPr>
          </w:pPr>
          <w:r>
            <w:t>93</w:t>
          </w:r>
          <w:r w:rsidR="005F07F9">
            <w:t>% had mental health needs</w:t>
          </w:r>
        </w:p>
        <w:p w14:paraId="29666F15" w14:textId="5790B4C3" w:rsidR="005F07F9" w:rsidRDefault="003E554D" w:rsidP="00717082">
          <w:pPr>
            <w:pStyle w:val="ListParagraph"/>
            <w:numPr>
              <w:ilvl w:val="1"/>
              <w:numId w:val="94"/>
            </w:numPr>
          </w:pPr>
          <w:r>
            <w:t>64</w:t>
          </w:r>
          <w:r w:rsidR="005F07F9">
            <w:t>% were experiencing social isolation.</w:t>
          </w:r>
        </w:p>
        <w:p w14:paraId="162D14BE" w14:textId="69CA1657" w:rsidR="00815E1F" w:rsidRDefault="002A0425" w:rsidP="00717082">
          <w:pPr>
            <w:pStyle w:val="ListParagraph"/>
            <w:numPr>
              <w:ilvl w:val="0"/>
              <w:numId w:val="94"/>
            </w:numPr>
          </w:pPr>
          <w:r>
            <w:t xml:space="preserve">Of Drummond Street’s </w:t>
          </w:r>
          <w:r w:rsidR="00815E1F">
            <w:t xml:space="preserve">clients who were </w:t>
          </w:r>
          <w:r>
            <w:t xml:space="preserve">cis </w:t>
          </w:r>
          <w:r w:rsidR="00815E1F">
            <w:t>men or boys</w:t>
          </w:r>
          <w:r w:rsidR="00441CEA">
            <w:t xml:space="preserve"> (35% or 705 of clients)</w:t>
          </w:r>
          <w:r w:rsidR="00815E1F">
            <w:t>:</w:t>
          </w:r>
        </w:p>
        <w:p w14:paraId="5A817FDC" w14:textId="042AC083" w:rsidR="00815E1F" w:rsidRDefault="003E554D" w:rsidP="00717082">
          <w:pPr>
            <w:pStyle w:val="ListParagraph"/>
            <w:numPr>
              <w:ilvl w:val="1"/>
              <w:numId w:val="94"/>
            </w:numPr>
          </w:pPr>
          <w:r>
            <w:t>23</w:t>
          </w:r>
          <w:r w:rsidR="00815E1F">
            <w:t>% had a risk of homelessness</w:t>
          </w:r>
        </w:p>
        <w:p w14:paraId="3512F5A9" w14:textId="2B4152FE" w:rsidR="00815E1F" w:rsidRDefault="003E554D" w:rsidP="00717082">
          <w:pPr>
            <w:pStyle w:val="ListParagraph"/>
            <w:numPr>
              <w:ilvl w:val="1"/>
              <w:numId w:val="94"/>
            </w:numPr>
          </w:pPr>
          <w:r>
            <w:t>48</w:t>
          </w:r>
          <w:r w:rsidR="00815E1F">
            <w:t>% were experiencing financial insecurity</w:t>
          </w:r>
        </w:p>
        <w:p w14:paraId="33672CF6" w14:textId="7CCC01C9" w:rsidR="00815E1F" w:rsidRDefault="003E554D" w:rsidP="00717082">
          <w:pPr>
            <w:pStyle w:val="ListParagraph"/>
            <w:numPr>
              <w:ilvl w:val="1"/>
              <w:numId w:val="94"/>
            </w:numPr>
          </w:pPr>
          <w:r>
            <w:t>17</w:t>
          </w:r>
          <w:r w:rsidR="00815E1F">
            <w:t>% had AOD-related needs</w:t>
          </w:r>
        </w:p>
        <w:p w14:paraId="1834A7AC" w14:textId="32F5DE75" w:rsidR="00815E1F" w:rsidRDefault="003E554D" w:rsidP="00717082">
          <w:pPr>
            <w:pStyle w:val="ListParagraph"/>
            <w:numPr>
              <w:ilvl w:val="1"/>
              <w:numId w:val="94"/>
            </w:numPr>
          </w:pPr>
          <w:r>
            <w:t>97</w:t>
          </w:r>
          <w:r w:rsidR="00815E1F">
            <w:t>% had mental health needs</w:t>
          </w:r>
        </w:p>
        <w:p w14:paraId="37111DD8" w14:textId="5C3CB4A3" w:rsidR="00815E1F" w:rsidRDefault="003E554D" w:rsidP="00717082">
          <w:pPr>
            <w:pStyle w:val="ListParagraph"/>
            <w:numPr>
              <w:ilvl w:val="1"/>
              <w:numId w:val="94"/>
            </w:numPr>
          </w:pPr>
          <w:r>
            <w:t>54</w:t>
          </w:r>
          <w:r w:rsidR="00815E1F">
            <w:t>% were experiencing social isolation.</w:t>
          </w:r>
        </w:p>
        <w:p w14:paraId="3765E59B" w14:textId="4B457AAC" w:rsidR="003E554D" w:rsidRDefault="003E554D" w:rsidP="00717082">
          <w:pPr>
            <w:pStyle w:val="ListParagraph"/>
            <w:numPr>
              <w:ilvl w:val="0"/>
              <w:numId w:val="94"/>
            </w:numPr>
          </w:pPr>
          <w:r>
            <w:t>Of Drummond Street’s clients who were trans men or boy</w:t>
          </w:r>
          <w:r w:rsidR="00441CEA">
            <w:t>s (2% or 40 of clients)</w:t>
          </w:r>
          <w:r>
            <w:t>:</w:t>
          </w:r>
        </w:p>
        <w:p w14:paraId="5B26406D" w14:textId="61740F5F" w:rsidR="003E554D" w:rsidRDefault="00441CEA" w:rsidP="00717082">
          <w:pPr>
            <w:pStyle w:val="ListParagraph"/>
            <w:numPr>
              <w:ilvl w:val="1"/>
              <w:numId w:val="94"/>
            </w:numPr>
          </w:pPr>
          <w:r>
            <w:t>25</w:t>
          </w:r>
          <w:r w:rsidR="003E554D">
            <w:t>% had a risk of homelessness</w:t>
          </w:r>
        </w:p>
        <w:p w14:paraId="65827C9F" w14:textId="48228EA6" w:rsidR="003E554D" w:rsidRDefault="00441CEA" w:rsidP="00717082">
          <w:pPr>
            <w:pStyle w:val="ListParagraph"/>
            <w:numPr>
              <w:ilvl w:val="1"/>
              <w:numId w:val="94"/>
            </w:numPr>
          </w:pPr>
          <w:r>
            <w:t>30</w:t>
          </w:r>
          <w:r w:rsidR="003E554D">
            <w:t>% were experiencing financial insecurity</w:t>
          </w:r>
        </w:p>
        <w:p w14:paraId="59F3D699" w14:textId="6BEB9F8E" w:rsidR="003E554D" w:rsidRDefault="00441CEA" w:rsidP="00717082">
          <w:pPr>
            <w:pStyle w:val="ListParagraph"/>
            <w:numPr>
              <w:ilvl w:val="1"/>
              <w:numId w:val="94"/>
            </w:numPr>
          </w:pPr>
          <w:r>
            <w:t>8</w:t>
          </w:r>
          <w:r w:rsidR="003E554D">
            <w:t>% had AOD-related needs</w:t>
          </w:r>
        </w:p>
        <w:p w14:paraId="7A7C8891" w14:textId="22508159" w:rsidR="003E554D" w:rsidRDefault="00441CEA" w:rsidP="00717082">
          <w:pPr>
            <w:pStyle w:val="ListParagraph"/>
            <w:numPr>
              <w:ilvl w:val="1"/>
              <w:numId w:val="94"/>
            </w:numPr>
          </w:pPr>
          <w:r>
            <w:t>93</w:t>
          </w:r>
          <w:r w:rsidR="003E554D">
            <w:t>% had mental health needs</w:t>
          </w:r>
        </w:p>
        <w:p w14:paraId="38EE4392" w14:textId="2D05C23A" w:rsidR="002A0425" w:rsidRDefault="00441CEA" w:rsidP="00717082">
          <w:pPr>
            <w:pStyle w:val="ListParagraph"/>
            <w:numPr>
              <w:ilvl w:val="1"/>
              <w:numId w:val="94"/>
            </w:numPr>
          </w:pPr>
          <w:r>
            <w:t>45</w:t>
          </w:r>
          <w:r w:rsidR="003E554D">
            <w:t>% were experiencing social isolation.</w:t>
          </w:r>
        </w:p>
        <w:p w14:paraId="6B0E68CB" w14:textId="7D6A6583" w:rsidR="003E554D" w:rsidRDefault="003E554D" w:rsidP="00717082">
          <w:pPr>
            <w:pStyle w:val="ListParagraph"/>
            <w:numPr>
              <w:ilvl w:val="0"/>
              <w:numId w:val="94"/>
            </w:numPr>
          </w:pPr>
          <w:r>
            <w:t>Of Drummond Street’s clients who were non-binary</w:t>
          </w:r>
          <w:r w:rsidR="00441CEA">
            <w:t xml:space="preserve"> (4% or 82 of clients)</w:t>
          </w:r>
          <w:r>
            <w:t>:</w:t>
          </w:r>
        </w:p>
        <w:p w14:paraId="22D72078" w14:textId="32D4EB5B" w:rsidR="003E554D" w:rsidRDefault="00441CEA" w:rsidP="00717082">
          <w:pPr>
            <w:pStyle w:val="ListParagraph"/>
            <w:numPr>
              <w:ilvl w:val="1"/>
              <w:numId w:val="94"/>
            </w:numPr>
          </w:pPr>
          <w:r>
            <w:t>29</w:t>
          </w:r>
          <w:r w:rsidR="003E554D">
            <w:t>% had a risk of homelessness</w:t>
          </w:r>
        </w:p>
        <w:p w14:paraId="320564A6" w14:textId="5165ED5C" w:rsidR="003E554D" w:rsidRDefault="00441CEA" w:rsidP="00717082">
          <w:pPr>
            <w:pStyle w:val="ListParagraph"/>
            <w:numPr>
              <w:ilvl w:val="1"/>
              <w:numId w:val="94"/>
            </w:numPr>
          </w:pPr>
          <w:r>
            <w:t>39</w:t>
          </w:r>
          <w:r w:rsidR="003E554D">
            <w:t>% were experiencing financial insecurity</w:t>
          </w:r>
        </w:p>
        <w:p w14:paraId="13F311F8" w14:textId="24F190CE" w:rsidR="003E554D" w:rsidRDefault="00441CEA" w:rsidP="00717082">
          <w:pPr>
            <w:pStyle w:val="ListParagraph"/>
            <w:numPr>
              <w:ilvl w:val="1"/>
              <w:numId w:val="94"/>
            </w:numPr>
          </w:pPr>
          <w:r>
            <w:t>13</w:t>
          </w:r>
          <w:r w:rsidR="003E554D">
            <w:t>% had AOD-related needs</w:t>
          </w:r>
        </w:p>
        <w:p w14:paraId="6F050C84" w14:textId="3DCB7B26" w:rsidR="003E554D" w:rsidRDefault="00441CEA" w:rsidP="00717082">
          <w:pPr>
            <w:pStyle w:val="ListParagraph"/>
            <w:numPr>
              <w:ilvl w:val="1"/>
              <w:numId w:val="94"/>
            </w:numPr>
          </w:pPr>
          <w:r>
            <w:t>98</w:t>
          </w:r>
          <w:r w:rsidR="003E554D">
            <w:t>% had mental health needs</w:t>
          </w:r>
        </w:p>
        <w:p w14:paraId="78374BF5" w14:textId="0D51754D" w:rsidR="003E554D" w:rsidRDefault="00441CEA" w:rsidP="00717082">
          <w:pPr>
            <w:pStyle w:val="ListParagraph"/>
            <w:numPr>
              <w:ilvl w:val="1"/>
              <w:numId w:val="94"/>
            </w:numPr>
          </w:pPr>
          <w:r>
            <w:t>35</w:t>
          </w:r>
          <w:r w:rsidR="003E554D">
            <w:t>% were experiencing social isolation.</w:t>
          </w:r>
        </w:p>
        <w:p w14:paraId="52FEC6A5" w14:textId="70576F09" w:rsidR="003E554D" w:rsidRDefault="003E554D" w:rsidP="00717082">
          <w:pPr>
            <w:pStyle w:val="ListParagraph"/>
            <w:numPr>
              <w:ilvl w:val="0"/>
              <w:numId w:val="94"/>
            </w:numPr>
          </w:pPr>
          <w:r>
            <w:t>Of Drummond Street’s clients who were gender questioning</w:t>
          </w:r>
          <w:r w:rsidR="00441CEA">
            <w:t xml:space="preserve"> (1% or 22 of clients)</w:t>
          </w:r>
          <w:r>
            <w:t>:</w:t>
          </w:r>
        </w:p>
        <w:p w14:paraId="1317829C" w14:textId="7BD1ECC5" w:rsidR="003E554D" w:rsidRDefault="00441CEA" w:rsidP="00717082">
          <w:pPr>
            <w:pStyle w:val="ListParagraph"/>
            <w:numPr>
              <w:ilvl w:val="1"/>
              <w:numId w:val="94"/>
            </w:numPr>
          </w:pPr>
          <w:r>
            <w:t>9</w:t>
          </w:r>
          <w:r w:rsidR="003E554D">
            <w:t>% had a risk of homelessness</w:t>
          </w:r>
        </w:p>
        <w:p w14:paraId="07FA45E9" w14:textId="142547E5" w:rsidR="003E554D" w:rsidRDefault="00441CEA" w:rsidP="00717082">
          <w:pPr>
            <w:pStyle w:val="ListParagraph"/>
            <w:numPr>
              <w:ilvl w:val="1"/>
              <w:numId w:val="94"/>
            </w:numPr>
          </w:pPr>
          <w:r>
            <w:t>18</w:t>
          </w:r>
          <w:r w:rsidR="003E554D">
            <w:t>% were experiencing financial insecurity</w:t>
          </w:r>
        </w:p>
        <w:p w14:paraId="2758A7B4" w14:textId="0B39FF78" w:rsidR="003E554D" w:rsidRDefault="00441CEA" w:rsidP="00717082">
          <w:pPr>
            <w:pStyle w:val="ListParagraph"/>
            <w:numPr>
              <w:ilvl w:val="1"/>
              <w:numId w:val="94"/>
            </w:numPr>
          </w:pPr>
          <w:r>
            <w:t>14</w:t>
          </w:r>
          <w:r w:rsidR="003E554D">
            <w:t>% had AOD-related needs</w:t>
          </w:r>
        </w:p>
        <w:p w14:paraId="0F2676BD" w14:textId="6A010699" w:rsidR="003E554D" w:rsidRDefault="00441CEA" w:rsidP="00717082">
          <w:pPr>
            <w:pStyle w:val="ListParagraph"/>
            <w:numPr>
              <w:ilvl w:val="1"/>
              <w:numId w:val="94"/>
            </w:numPr>
          </w:pPr>
          <w:r>
            <w:t>96</w:t>
          </w:r>
          <w:r w:rsidR="003E554D">
            <w:t>% had mental health needs</w:t>
          </w:r>
        </w:p>
        <w:p w14:paraId="0EBB319A" w14:textId="531D445E" w:rsidR="003E554D" w:rsidRDefault="00441CEA" w:rsidP="00717082">
          <w:pPr>
            <w:pStyle w:val="ListParagraph"/>
            <w:numPr>
              <w:ilvl w:val="1"/>
              <w:numId w:val="94"/>
            </w:numPr>
          </w:pPr>
          <w:r>
            <w:t>59</w:t>
          </w:r>
          <w:r w:rsidR="003E554D">
            <w:t>% were experiencing social isolation.</w:t>
          </w:r>
        </w:p>
        <w:p w14:paraId="0B83C54B" w14:textId="0BA693F6" w:rsidR="003E554D" w:rsidRDefault="003E554D" w:rsidP="00717082">
          <w:pPr>
            <w:pStyle w:val="ListParagraph"/>
            <w:numPr>
              <w:ilvl w:val="0"/>
              <w:numId w:val="94"/>
            </w:numPr>
          </w:pPr>
          <w:r>
            <w:t>Of Drummond Street’s clients whose gender was recorded as ‘</w:t>
          </w:r>
          <w:r w:rsidR="003905E2">
            <w:t>o</w:t>
          </w:r>
          <w:r>
            <w:t>ther’</w:t>
          </w:r>
          <w:r w:rsidR="00441CEA">
            <w:t xml:space="preserve"> (2% or 49 of clients)</w:t>
          </w:r>
          <w:r>
            <w:t>:</w:t>
          </w:r>
        </w:p>
        <w:p w14:paraId="593474C2" w14:textId="2D2A6C9D" w:rsidR="003E554D" w:rsidRDefault="00441CEA" w:rsidP="00717082">
          <w:pPr>
            <w:pStyle w:val="ListParagraph"/>
            <w:numPr>
              <w:ilvl w:val="1"/>
              <w:numId w:val="94"/>
            </w:numPr>
          </w:pPr>
          <w:r>
            <w:t>26</w:t>
          </w:r>
          <w:r w:rsidR="003E554D">
            <w:t>% had a risk of homelessness</w:t>
          </w:r>
        </w:p>
        <w:p w14:paraId="4C701E40" w14:textId="0E31FCD3" w:rsidR="003E554D" w:rsidRDefault="00441CEA" w:rsidP="00717082">
          <w:pPr>
            <w:pStyle w:val="ListParagraph"/>
            <w:numPr>
              <w:ilvl w:val="1"/>
              <w:numId w:val="94"/>
            </w:numPr>
          </w:pPr>
          <w:r>
            <w:t>36</w:t>
          </w:r>
          <w:r w:rsidR="003E554D">
            <w:t>% were experiencing financial insecurity</w:t>
          </w:r>
        </w:p>
        <w:p w14:paraId="04456D0C" w14:textId="36D1231C" w:rsidR="003E554D" w:rsidRDefault="00441CEA" w:rsidP="00717082">
          <w:pPr>
            <w:pStyle w:val="ListParagraph"/>
            <w:numPr>
              <w:ilvl w:val="1"/>
              <w:numId w:val="94"/>
            </w:numPr>
          </w:pPr>
          <w:r>
            <w:t>14</w:t>
          </w:r>
          <w:r w:rsidR="003E554D">
            <w:t>% had AOD-related needs</w:t>
          </w:r>
        </w:p>
        <w:p w14:paraId="76751922" w14:textId="26D1B428" w:rsidR="003E554D" w:rsidRDefault="00441CEA" w:rsidP="00717082">
          <w:pPr>
            <w:pStyle w:val="ListParagraph"/>
            <w:numPr>
              <w:ilvl w:val="1"/>
              <w:numId w:val="94"/>
            </w:numPr>
          </w:pPr>
          <w:r>
            <w:t>92</w:t>
          </w:r>
          <w:r w:rsidR="003E554D">
            <w:t>% had mental health needs</w:t>
          </w:r>
        </w:p>
        <w:p w14:paraId="2DB0A661" w14:textId="1BC96EE9" w:rsidR="003E554D" w:rsidRDefault="00441CEA" w:rsidP="00717082">
          <w:pPr>
            <w:pStyle w:val="ListParagraph"/>
            <w:numPr>
              <w:ilvl w:val="1"/>
              <w:numId w:val="94"/>
            </w:numPr>
          </w:pPr>
          <w:r>
            <w:t>56</w:t>
          </w:r>
          <w:r w:rsidR="003E554D">
            <w:t>% were experiencing social isolation.</w:t>
          </w:r>
        </w:p>
        <w:p w14:paraId="10AE43C5" w14:textId="4528E2CF" w:rsidR="00C55C15" w:rsidRDefault="00C55C15" w:rsidP="00C55C15">
          <w:r>
            <w:t>There were similar co-occurring needs when comparing cis clients to trans and gender diverse</w:t>
          </w:r>
          <w:r w:rsidDel="002C21FA">
            <w:t xml:space="preserve"> </w:t>
          </w:r>
          <w:r>
            <w:t>clients who were experiencing family violence. Trans and gender diverse clients had a lower rate of financial insecurity</w:t>
          </w:r>
          <w:r w:rsidR="0015640C">
            <w:t xml:space="preserve"> (37% compared to 47%)</w:t>
          </w:r>
          <w:r>
            <w:t xml:space="preserve"> but a slightly higher rate of risk of homelessness</w:t>
          </w:r>
          <w:r w:rsidR="00D76ED2">
            <w:t xml:space="preserve"> (25%)</w:t>
          </w:r>
          <w:r>
            <w:t xml:space="preserve"> in comparison to cis clients</w:t>
          </w:r>
          <w:r w:rsidR="00D76ED2">
            <w:t xml:space="preserve"> (22%)</w:t>
          </w:r>
          <w:r>
            <w:t>. Of the 60 trans and gender diverse clients with disabilities however, there were very high risks of:</w:t>
          </w:r>
        </w:p>
        <w:p w14:paraId="086A967D" w14:textId="77777777" w:rsidR="00C55C15" w:rsidRPr="00CC7F55" w:rsidRDefault="00C55C15" w:rsidP="00717082">
          <w:pPr>
            <w:pStyle w:val="ListParagraph"/>
            <w:numPr>
              <w:ilvl w:val="0"/>
              <w:numId w:val="22"/>
            </w:numPr>
          </w:pPr>
          <w:r w:rsidRPr="00CC7F55">
            <w:t>homelessness –</w:t>
          </w:r>
          <w:r w:rsidRPr="00CC7F55" w:rsidDel="00322CA6">
            <w:t xml:space="preserve"> </w:t>
          </w:r>
          <w:r w:rsidRPr="00CC7F55">
            <w:t>40%</w:t>
          </w:r>
        </w:p>
        <w:p w14:paraId="7C1BFC8B" w14:textId="77777777" w:rsidR="00C55C15" w:rsidRPr="00CC7F55" w:rsidRDefault="00C55C15" w:rsidP="00717082">
          <w:pPr>
            <w:pStyle w:val="ListParagraph"/>
            <w:numPr>
              <w:ilvl w:val="0"/>
              <w:numId w:val="22"/>
            </w:numPr>
          </w:pPr>
          <w:r w:rsidRPr="00CC7F55">
            <w:t>financial insecurity –</w:t>
          </w:r>
          <w:r w:rsidRPr="00CC7F55" w:rsidDel="00322CA6">
            <w:t xml:space="preserve"> </w:t>
          </w:r>
          <w:r w:rsidRPr="00CC7F55">
            <w:t>58%</w:t>
          </w:r>
        </w:p>
        <w:p w14:paraId="58B4571B" w14:textId="77777777" w:rsidR="00C55C15" w:rsidRPr="00CC7F55" w:rsidRDefault="00C55C15" w:rsidP="00717082">
          <w:pPr>
            <w:pStyle w:val="ListParagraph"/>
            <w:numPr>
              <w:ilvl w:val="0"/>
              <w:numId w:val="22"/>
            </w:numPr>
          </w:pPr>
          <w:r w:rsidRPr="00CC7F55">
            <w:t>social isolation –</w:t>
          </w:r>
          <w:r w:rsidRPr="00CC7F55" w:rsidDel="00322CA6">
            <w:t xml:space="preserve"> </w:t>
          </w:r>
          <w:r w:rsidRPr="00CC7F55">
            <w:t>65%.</w:t>
          </w:r>
        </w:p>
        <w:p w14:paraId="06BE63F1" w14:textId="27273B48" w:rsidR="00C55C15" w:rsidRDefault="00C55C15" w:rsidP="00C55C15">
          <w:pPr>
            <w:pStyle w:val="Heading3"/>
          </w:pPr>
          <w:r>
            <w:t xml:space="preserve">Clients by </w:t>
          </w:r>
          <w:r w:rsidR="00B15700">
            <w:t>s</w:t>
          </w:r>
          <w:r>
            <w:t>exuality</w:t>
          </w:r>
        </w:p>
        <w:p w14:paraId="510CD4C3" w14:textId="77777777" w:rsidR="00C55C15" w:rsidRDefault="00C55C15" w:rsidP="00C55C15">
          <w:r>
            <w:t xml:space="preserve">Drummond Street runs a number of queer-focused and inclusive programs. Across all programs, about 40% of clients experiencing/using family violence were Lesbian, Bisexual, Gay or Queer identified. Sexuality was not recorded for children (37% of clients) and 14% of adult clients had not disclosed their sexuality. </w:t>
          </w:r>
        </w:p>
        <w:p w14:paraId="744B303A" w14:textId="77777777" w:rsidR="00C55C15" w:rsidRDefault="00C55C15" w:rsidP="00C55C15">
          <w:r>
            <w:t xml:space="preserve">The table below displays the count and frequency of different sexualities. Notably, heterosexual clients were at a lower risk of homelessness than LGBQ+ clients. </w:t>
          </w:r>
        </w:p>
        <w:p w14:paraId="483405F0" w14:textId="5CF08EE7" w:rsidR="00243374" w:rsidRDefault="00F77CCB" w:rsidP="00C55C15">
          <w:r>
            <w:t>Across Drummond Street’s programs:</w:t>
          </w:r>
        </w:p>
        <w:p w14:paraId="298BF79C" w14:textId="6264BC55" w:rsidR="00F77CCB" w:rsidRDefault="00F77CCB" w:rsidP="00717082">
          <w:pPr>
            <w:pStyle w:val="ListParagraph"/>
            <w:numPr>
              <w:ilvl w:val="0"/>
              <w:numId w:val="95"/>
            </w:numPr>
          </w:pPr>
          <w:r>
            <w:t>31%</w:t>
          </w:r>
          <w:r w:rsidR="003555EA">
            <w:t xml:space="preserve"> (n=623) were heterosexual</w:t>
          </w:r>
        </w:p>
        <w:p w14:paraId="01E94489" w14:textId="53DFE43A" w:rsidR="00386752" w:rsidRDefault="00394F9A" w:rsidP="00717082">
          <w:pPr>
            <w:pStyle w:val="ListParagraph"/>
            <w:numPr>
              <w:ilvl w:val="0"/>
              <w:numId w:val="95"/>
            </w:numPr>
          </w:pPr>
          <w:r>
            <w:t xml:space="preserve">3% (n=70) were </w:t>
          </w:r>
          <w:r w:rsidR="003F047F">
            <w:t>lesbian</w:t>
          </w:r>
        </w:p>
        <w:p w14:paraId="58DDA1DA" w14:textId="6D287DE5" w:rsidR="003F047F" w:rsidRDefault="003F047F" w:rsidP="00717082">
          <w:pPr>
            <w:pStyle w:val="ListParagraph"/>
            <w:numPr>
              <w:ilvl w:val="0"/>
              <w:numId w:val="95"/>
            </w:numPr>
          </w:pPr>
          <w:r>
            <w:t>3% (n=64) were gay</w:t>
          </w:r>
        </w:p>
        <w:p w14:paraId="10850556" w14:textId="0A0C4411" w:rsidR="003F047F" w:rsidRDefault="003F047F" w:rsidP="00717082">
          <w:pPr>
            <w:pStyle w:val="ListParagraph"/>
            <w:numPr>
              <w:ilvl w:val="0"/>
              <w:numId w:val="95"/>
            </w:numPr>
          </w:pPr>
          <w:r>
            <w:t>6% (n=127) were bisexual or pansexual</w:t>
          </w:r>
        </w:p>
        <w:p w14:paraId="790935E0" w14:textId="26851A72" w:rsidR="003F047F" w:rsidRDefault="003F047F" w:rsidP="00717082">
          <w:pPr>
            <w:pStyle w:val="ListParagraph"/>
            <w:numPr>
              <w:ilvl w:val="0"/>
              <w:numId w:val="95"/>
            </w:numPr>
          </w:pPr>
          <w:r>
            <w:t>5% (n=111) were queer</w:t>
          </w:r>
        </w:p>
        <w:p w14:paraId="4FB0B38E" w14:textId="780ACA0C" w:rsidR="00FF48A9" w:rsidRDefault="00FF48A9" w:rsidP="00717082">
          <w:pPr>
            <w:pStyle w:val="ListParagraph"/>
            <w:numPr>
              <w:ilvl w:val="0"/>
              <w:numId w:val="95"/>
            </w:numPr>
          </w:pPr>
          <w:r>
            <w:t xml:space="preserve">14% </w:t>
          </w:r>
          <w:r w:rsidR="006667C6">
            <w:t xml:space="preserve">(n=283) </w:t>
          </w:r>
          <w:r>
            <w:t>did not disclose their sexuality</w:t>
          </w:r>
        </w:p>
        <w:p w14:paraId="6CA55742" w14:textId="5751637C" w:rsidR="00AA20FB" w:rsidRDefault="00AA20FB" w:rsidP="00717082">
          <w:pPr>
            <w:pStyle w:val="ListParagraph"/>
            <w:numPr>
              <w:ilvl w:val="0"/>
              <w:numId w:val="95"/>
            </w:numPr>
          </w:pPr>
          <w:r>
            <w:t xml:space="preserve">37% </w:t>
          </w:r>
          <w:r w:rsidR="006667C6">
            <w:t xml:space="preserve">(n=753) </w:t>
          </w:r>
          <w:r>
            <w:t>were under 15 years old and did not have their sexuality recorded</w:t>
          </w:r>
          <w:r w:rsidR="003905E2">
            <w:t xml:space="preserve"> – t</w:t>
          </w:r>
          <w:r w:rsidR="00751BD5">
            <w:t>hose</w:t>
          </w:r>
          <w:r w:rsidR="003905E2">
            <w:t xml:space="preserve"> </w:t>
          </w:r>
          <w:r w:rsidR="00751BD5">
            <w:t>with missing sexuality identifiers were excluded from further analysis</w:t>
          </w:r>
        </w:p>
        <w:p w14:paraId="7CA4155A" w14:textId="5BA18928" w:rsidR="00AA20FB" w:rsidRDefault="00411F6A" w:rsidP="00717082">
          <w:pPr>
            <w:pStyle w:val="ListParagraph"/>
            <w:numPr>
              <w:ilvl w:val="0"/>
              <w:numId w:val="95"/>
            </w:numPr>
          </w:pPr>
          <w:r>
            <w:t>2</w:t>
          </w:r>
          <w:r w:rsidR="006667C6">
            <w:t xml:space="preserve">% </w:t>
          </w:r>
          <w:r>
            <w:t xml:space="preserve">(n=41) </w:t>
          </w:r>
          <w:r w:rsidR="003905E2">
            <w:t xml:space="preserve">had their sexuality recorded as </w:t>
          </w:r>
          <w:r>
            <w:t>‘</w:t>
          </w:r>
          <w:r w:rsidR="003905E2">
            <w:t>o</w:t>
          </w:r>
          <w:r>
            <w:t>ther</w:t>
          </w:r>
          <w:r w:rsidR="00E66C25">
            <w:t>’</w:t>
          </w:r>
          <w:r w:rsidR="003905E2">
            <w:t xml:space="preserve"> – these </w:t>
          </w:r>
          <w:r w:rsidR="00E66C25">
            <w:t xml:space="preserve">include clients who were </w:t>
          </w:r>
          <w:r w:rsidR="007B2A43">
            <w:t>questioning, asexual or selected the ‘other’ category</w:t>
          </w:r>
        </w:p>
        <w:p w14:paraId="21FF57BE" w14:textId="25F9A2E0" w:rsidR="00C55C15" w:rsidRDefault="00C55C15" w:rsidP="00C55C15">
          <w:pPr>
            <w:pStyle w:val="Heading4"/>
          </w:pPr>
          <w:r>
            <w:t>Co-</w:t>
          </w:r>
          <w:r w:rsidR="00B15700">
            <w:t>o</w:t>
          </w:r>
          <w:r>
            <w:t xml:space="preserve">ccurring </w:t>
          </w:r>
          <w:r w:rsidR="00B15700">
            <w:t>n</w:t>
          </w:r>
          <w:r>
            <w:t>eeds</w:t>
          </w:r>
        </w:p>
        <w:p w14:paraId="5BD5D788" w14:textId="77777777" w:rsidR="00C55C15" w:rsidRDefault="00C55C15" w:rsidP="00C55C15">
          <w:r>
            <w:t>Gay men and those with an ‘other’ sexuality demonstrated very high rates of social isolation (61% and 71% respectively) as well as AOD-related needs (28% and 27% respectively). In contrast, lesbian women and queer identifying people were at a lower risk of social isolation, at about 35% of these clients.</w:t>
          </w:r>
        </w:p>
        <w:p w14:paraId="35BA6F7F" w14:textId="5368D31D" w:rsidR="00C55C15" w:rsidRDefault="00C55C15" w:rsidP="00C55C15">
          <w:r>
            <w:t>Overall, any client who was not heterosexual (LGBQ+ identifying) (n=413) had a 1.5 times higher risk of homelessness (26%) compared to heterosexual clients (19%). Additionally, LGBQ+ clients had a 1.7 times higher rate of AOD-related needs (21%) compared to heterosexual clients (14%).</w:t>
          </w:r>
        </w:p>
        <w:p w14:paraId="47665FD0" w14:textId="77777777" w:rsidR="003905E2" w:rsidRDefault="003905E2" w:rsidP="00717082">
          <w:pPr>
            <w:pStyle w:val="ListParagraph"/>
            <w:numPr>
              <w:ilvl w:val="0"/>
              <w:numId w:val="94"/>
            </w:numPr>
          </w:pPr>
          <w:r>
            <w:t>Of Drummond Street’s clients who were heterosexual:</w:t>
          </w:r>
        </w:p>
        <w:p w14:paraId="3D768B19" w14:textId="20901887" w:rsidR="003905E2" w:rsidRDefault="003905E2" w:rsidP="00717082">
          <w:pPr>
            <w:pStyle w:val="ListParagraph"/>
            <w:numPr>
              <w:ilvl w:val="1"/>
              <w:numId w:val="94"/>
            </w:numPr>
          </w:pPr>
          <w:r>
            <w:t>19% had a risk of homelessness</w:t>
          </w:r>
        </w:p>
        <w:p w14:paraId="07C32470" w14:textId="35E166D8" w:rsidR="003905E2" w:rsidRDefault="003905E2" w:rsidP="00717082">
          <w:pPr>
            <w:pStyle w:val="ListParagraph"/>
            <w:numPr>
              <w:ilvl w:val="1"/>
              <w:numId w:val="94"/>
            </w:numPr>
          </w:pPr>
          <w:r>
            <w:t>44% were experiencing financial insecurity</w:t>
          </w:r>
        </w:p>
        <w:p w14:paraId="645994CF" w14:textId="02DE00F3" w:rsidR="003905E2" w:rsidRDefault="003905E2" w:rsidP="00717082">
          <w:pPr>
            <w:pStyle w:val="ListParagraph"/>
            <w:numPr>
              <w:ilvl w:val="1"/>
              <w:numId w:val="94"/>
            </w:numPr>
          </w:pPr>
          <w:r>
            <w:t>14% had AOD-related needs</w:t>
          </w:r>
        </w:p>
        <w:p w14:paraId="5BAEA4E9" w14:textId="09A46B96" w:rsidR="003905E2" w:rsidRDefault="003905E2" w:rsidP="00717082">
          <w:pPr>
            <w:pStyle w:val="ListParagraph"/>
            <w:numPr>
              <w:ilvl w:val="1"/>
              <w:numId w:val="94"/>
            </w:numPr>
          </w:pPr>
          <w:r>
            <w:t>93% had mental health needs</w:t>
          </w:r>
        </w:p>
        <w:p w14:paraId="55F96512" w14:textId="7E6B037B" w:rsidR="003905E2" w:rsidRDefault="003905E2" w:rsidP="00717082">
          <w:pPr>
            <w:pStyle w:val="ListParagraph"/>
            <w:numPr>
              <w:ilvl w:val="1"/>
              <w:numId w:val="110"/>
            </w:numPr>
          </w:pPr>
          <w:r>
            <w:t>50% were experiencing social isolation.</w:t>
          </w:r>
        </w:p>
        <w:p w14:paraId="6D1F5787" w14:textId="77777777" w:rsidR="003905E2" w:rsidRDefault="003905E2" w:rsidP="00717082">
          <w:pPr>
            <w:pStyle w:val="ListParagraph"/>
            <w:numPr>
              <w:ilvl w:val="0"/>
              <w:numId w:val="94"/>
            </w:numPr>
          </w:pPr>
          <w:r>
            <w:t>Of Drummond Street’s clients who were lesbian:</w:t>
          </w:r>
        </w:p>
        <w:p w14:paraId="666DC96E" w14:textId="08DEE591" w:rsidR="003905E2" w:rsidRDefault="003905E2" w:rsidP="00717082">
          <w:pPr>
            <w:pStyle w:val="ListParagraph"/>
            <w:numPr>
              <w:ilvl w:val="1"/>
              <w:numId w:val="94"/>
            </w:numPr>
          </w:pPr>
          <w:r>
            <w:t>29% had a risk of homelessness</w:t>
          </w:r>
        </w:p>
        <w:p w14:paraId="1CD576AD" w14:textId="3CD290E7" w:rsidR="003905E2" w:rsidRDefault="003905E2" w:rsidP="00717082">
          <w:pPr>
            <w:pStyle w:val="ListParagraph"/>
            <w:numPr>
              <w:ilvl w:val="1"/>
              <w:numId w:val="94"/>
            </w:numPr>
          </w:pPr>
          <w:r>
            <w:t>33% were experiencing financial insecurity</w:t>
          </w:r>
        </w:p>
        <w:p w14:paraId="44368C09" w14:textId="5EC31516" w:rsidR="003905E2" w:rsidRDefault="003905E2" w:rsidP="00717082">
          <w:pPr>
            <w:pStyle w:val="ListParagraph"/>
            <w:numPr>
              <w:ilvl w:val="1"/>
              <w:numId w:val="94"/>
            </w:numPr>
          </w:pPr>
          <w:r>
            <w:t>16% had AOD-related needs</w:t>
          </w:r>
        </w:p>
        <w:p w14:paraId="7BA71027" w14:textId="22761368" w:rsidR="003905E2" w:rsidRDefault="003905E2" w:rsidP="00717082">
          <w:pPr>
            <w:pStyle w:val="ListParagraph"/>
            <w:numPr>
              <w:ilvl w:val="1"/>
              <w:numId w:val="94"/>
            </w:numPr>
          </w:pPr>
          <w:r>
            <w:t>84% had mental health needs</w:t>
          </w:r>
        </w:p>
        <w:p w14:paraId="5323B508" w14:textId="0F227CA8" w:rsidR="003905E2" w:rsidRDefault="003905E2" w:rsidP="00717082">
          <w:pPr>
            <w:pStyle w:val="ListParagraph"/>
            <w:numPr>
              <w:ilvl w:val="1"/>
              <w:numId w:val="110"/>
            </w:numPr>
          </w:pPr>
          <w:r>
            <w:t>36% were experiencing social isolation.</w:t>
          </w:r>
        </w:p>
        <w:p w14:paraId="1B607E32" w14:textId="77777777" w:rsidR="003905E2" w:rsidRDefault="003905E2" w:rsidP="00717082">
          <w:pPr>
            <w:pStyle w:val="ListParagraph"/>
            <w:numPr>
              <w:ilvl w:val="0"/>
              <w:numId w:val="94"/>
            </w:numPr>
          </w:pPr>
          <w:r>
            <w:t>Of Drummond Street’s clients who were gay:</w:t>
          </w:r>
        </w:p>
        <w:p w14:paraId="5FD5F6D0" w14:textId="07BDB207" w:rsidR="003905E2" w:rsidRDefault="00717082" w:rsidP="00717082">
          <w:pPr>
            <w:pStyle w:val="ListParagraph"/>
            <w:numPr>
              <w:ilvl w:val="1"/>
              <w:numId w:val="94"/>
            </w:numPr>
          </w:pPr>
          <w:r>
            <w:t>34</w:t>
          </w:r>
          <w:r w:rsidR="003905E2">
            <w:t>% had a risk of homelessness</w:t>
          </w:r>
        </w:p>
        <w:p w14:paraId="2E6A81AD" w14:textId="3EDF3C2D" w:rsidR="003905E2" w:rsidRDefault="00717082" w:rsidP="00717082">
          <w:pPr>
            <w:pStyle w:val="ListParagraph"/>
            <w:numPr>
              <w:ilvl w:val="1"/>
              <w:numId w:val="94"/>
            </w:numPr>
          </w:pPr>
          <w:r>
            <w:t>41</w:t>
          </w:r>
          <w:r w:rsidR="003905E2">
            <w:t>% were experiencing financial insecurity</w:t>
          </w:r>
        </w:p>
        <w:p w14:paraId="46FD83D8" w14:textId="36CE2F10" w:rsidR="003905E2" w:rsidRDefault="00717082" w:rsidP="00717082">
          <w:pPr>
            <w:pStyle w:val="ListParagraph"/>
            <w:numPr>
              <w:ilvl w:val="1"/>
              <w:numId w:val="94"/>
            </w:numPr>
          </w:pPr>
          <w:r>
            <w:t>28</w:t>
          </w:r>
          <w:r w:rsidR="003905E2">
            <w:t>% had AOD-related needs</w:t>
          </w:r>
        </w:p>
        <w:p w14:paraId="06B7BF94" w14:textId="0AB14693" w:rsidR="003905E2" w:rsidRDefault="00717082" w:rsidP="00717082">
          <w:pPr>
            <w:pStyle w:val="ListParagraph"/>
            <w:numPr>
              <w:ilvl w:val="1"/>
              <w:numId w:val="94"/>
            </w:numPr>
          </w:pPr>
          <w:r>
            <w:t>89</w:t>
          </w:r>
          <w:r w:rsidR="003905E2">
            <w:t>% had mental health needs</w:t>
          </w:r>
        </w:p>
        <w:p w14:paraId="523D3687" w14:textId="01B48FDB" w:rsidR="003905E2" w:rsidRDefault="00717082" w:rsidP="00717082">
          <w:pPr>
            <w:pStyle w:val="ListParagraph"/>
            <w:numPr>
              <w:ilvl w:val="1"/>
              <w:numId w:val="110"/>
            </w:numPr>
          </w:pPr>
          <w:r>
            <w:t>61</w:t>
          </w:r>
          <w:r w:rsidR="003905E2">
            <w:t>% were experiencing social isolation.</w:t>
          </w:r>
        </w:p>
        <w:p w14:paraId="66D25166" w14:textId="77777777" w:rsidR="003905E2" w:rsidRDefault="003905E2" w:rsidP="00717082">
          <w:pPr>
            <w:pStyle w:val="ListParagraph"/>
            <w:numPr>
              <w:ilvl w:val="0"/>
              <w:numId w:val="94"/>
            </w:numPr>
          </w:pPr>
          <w:r>
            <w:t>Of Drummond Street’s clients who were bisexual or pansexual:</w:t>
          </w:r>
        </w:p>
        <w:p w14:paraId="2D89A1BA" w14:textId="3693C775" w:rsidR="003905E2" w:rsidRDefault="00717082" w:rsidP="00717082">
          <w:pPr>
            <w:pStyle w:val="ListParagraph"/>
            <w:numPr>
              <w:ilvl w:val="1"/>
              <w:numId w:val="94"/>
            </w:numPr>
          </w:pPr>
          <w:r>
            <w:t>21</w:t>
          </w:r>
          <w:r w:rsidR="003905E2">
            <w:t>% had a risk of homelessness</w:t>
          </w:r>
        </w:p>
        <w:p w14:paraId="140E3716" w14:textId="3F834B71" w:rsidR="003905E2" w:rsidRDefault="00717082" w:rsidP="00717082">
          <w:pPr>
            <w:pStyle w:val="ListParagraph"/>
            <w:numPr>
              <w:ilvl w:val="1"/>
              <w:numId w:val="94"/>
            </w:numPr>
          </w:pPr>
          <w:r>
            <w:t>37</w:t>
          </w:r>
          <w:r w:rsidR="003905E2">
            <w:t>% were experiencing financial insecurity</w:t>
          </w:r>
        </w:p>
        <w:p w14:paraId="00640AA8" w14:textId="1C87F8D2" w:rsidR="003905E2" w:rsidRDefault="00717082" w:rsidP="00717082">
          <w:pPr>
            <w:pStyle w:val="ListParagraph"/>
            <w:numPr>
              <w:ilvl w:val="1"/>
              <w:numId w:val="94"/>
            </w:numPr>
          </w:pPr>
          <w:r>
            <w:t>21</w:t>
          </w:r>
          <w:r w:rsidR="003905E2">
            <w:t>% had AOD-related needs</w:t>
          </w:r>
        </w:p>
        <w:p w14:paraId="18F98355" w14:textId="3695EC2B" w:rsidR="003905E2" w:rsidRDefault="00717082" w:rsidP="00717082">
          <w:pPr>
            <w:pStyle w:val="ListParagraph"/>
            <w:numPr>
              <w:ilvl w:val="1"/>
              <w:numId w:val="94"/>
            </w:numPr>
          </w:pPr>
          <w:r>
            <w:t>95</w:t>
          </w:r>
          <w:r w:rsidR="003905E2">
            <w:t>% had mental health needs</w:t>
          </w:r>
        </w:p>
        <w:p w14:paraId="3730257A" w14:textId="7F8B1685" w:rsidR="003905E2" w:rsidRDefault="00717082" w:rsidP="00717082">
          <w:pPr>
            <w:pStyle w:val="ListParagraph"/>
            <w:numPr>
              <w:ilvl w:val="1"/>
              <w:numId w:val="110"/>
            </w:numPr>
          </w:pPr>
          <w:r>
            <w:t>50</w:t>
          </w:r>
          <w:r w:rsidR="003905E2">
            <w:t>% were experiencing social isolation.</w:t>
          </w:r>
        </w:p>
        <w:p w14:paraId="47C6FAD2" w14:textId="77777777" w:rsidR="003905E2" w:rsidRDefault="003905E2" w:rsidP="00717082">
          <w:pPr>
            <w:pStyle w:val="ListParagraph"/>
            <w:numPr>
              <w:ilvl w:val="0"/>
              <w:numId w:val="94"/>
            </w:numPr>
          </w:pPr>
          <w:r>
            <w:t>Of Drummond Street’s clients who were queer:</w:t>
          </w:r>
        </w:p>
        <w:p w14:paraId="37911B4A" w14:textId="610FE4B9" w:rsidR="003905E2" w:rsidRDefault="00717082" w:rsidP="00717082">
          <w:pPr>
            <w:pStyle w:val="ListParagraph"/>
            <w:numPr>
              <w:ilvl w:val="1"/>
              <w:numId w:val="94"/>
            </w:numPr>
          </w:pPr>
          <w:r>
            <w:t>21</w:t>
          </w:r>
          <w:r w:rsidR="003905E2">
            <w:t>% had a risk of homelessness</w:t>
          </w:r>
        </w:p>
        <w:p w14:paraId="54D0A6EB" w14:textId="7A00917E" w:rsidR="003905E2" w:rsidRDefault="00717082" w:rsidP="00717082">
          <w:pPr>
            <w:pStyle w:val="ListParagraph"/>
            <w:numPr>
              <w:ilvl w:val="1"/>
              <w:numId w:val="94"/>
            </w:numPr>
          </w:pPr>
          <w:r>
            <w:t>40</w:t>
          </w:r>
          <w:r w:rsidR="003905E2">
            <w:t>% were experiencing financial insecurity</w:t>
          </w:r>
        </w:p>
        <w:p w14:paraId="63A078AF" w14:textId="363E1059" w:rsidR="003905E2" w:rsidRDefault="00717082" w:rsidP="00717082">
          <w:pPr>
            <w:pStyle w:val="ListParagraph"/>
            <w:numPr>
              <w:ilvl w:val="1"/>
              <w:numId w:val="94"/>
            </w:numPr>
          </w:pPr>
          <w:r>
            <w:t>19</w:t>
          </w:r>
          <w:r w:rsidR="003905E2">
            <w:t>% had AOD-related needs</w:t>
          </w:r>
        </w:p>
        <w:p w14:paraId="1E42C052" w14:textId="31B894E9" w:rsidR="003905E2" w:rsidRDefault="00717082" w:rsidP="00717082">
          <w:pPr>
            <w:pStyle w:val="ListParagraph"/>
            <w:numPr>
              <w:ilvl w:val="1"/>
              <w:numId w:val="94"/>
            </w:numPr>
          </w:pPr>
          <w:r>
            <w:t>95</w:t>
          </w:r>
          <w:r w:rsidR="003905E2">
            <w:t>% had mental health needs</w:t>
          </w:r>
        </w:p>
        <w:p w14:paraId="01D8CF1A" w14:textId="022C50E2" w:rsidR="003905E2" w:rsidRDefault="00717082" w:rsidP="00717082">
          <w:pPr>
            <w:pStyle w:val="ListParagraph"/>
            <w:numPr>
              <w:ilvl w:val="1"/>
              <w:numId w:val="110"/>
            </w:numPr>
          </w:pPr>
          <w:r>
            <w:t>35</w:t>
          </w:r>
          <w:r w:rsidR="003905E2">
            <w:t>% were experiencing social isolation.</w:t>
          </w:r>
        </w:p>
        <w:p w14:paraId="14729E42" w14:textId="77777777" w:rsidR="003905E2" w:rsidRDefault="003905E2" w:rsidP="00717082">
          <w:pPr>
            <w:pStyle w:val="ListParagraph"/>
            <w:numPr>
              <w:ilvl w:val="0"/>
              <w:numId w:val="94"/>
            </w:numPr>
          </w:pPr>
          <w:r>
            <w:t>Of Drummond Street’s clients whose sexuality was recorded as ‘other’:</w:t>
          </w:r>
        </w:p>
        <w:p w14:paraId="0C2DFCF8" w14:textId="0E0E86A5" w:rsidR="003905E2" w:rsidRDefault="00717082" w:rsidP="00717082">
          <w:pPr>
            <w:pStyle w:val="ListParagraph"/>
            <w:numPr>
              <w:ilvl w:val="1"/>
              <w:numId w:val="94"/>
            </w:numPr>
          </w:pPr>
          <w:r>
            <w:t>34</w:t>
          </w:r>
          <w:r w:rsidR="003905E2">
            <w:t>% had a risk of homelessness</w:t>
          </w:r>
        </w:p>
        <w:p w14:paraId="5B4E6DA7" w14:textId="1F840492" w:rsidR="003905E2" w:rsidRDefault="00717082" w:rsidP="00717082">
          <w:pPr>
            <w:pStyle w:val="ListParagraph"/>
            <w:numPr>
              <w:ilvl w:val="1"/>
              <w:numId w:val="94"/>
            </w:numPr>
          </w:pPr>
          <w:r>
            <w:t>51</w:t>
          </w:r>
          <w:r w:rsidR="003905E2">
            <w:t>% were experiencing financial insecurity</w:t>
          </w:r>
        </w:p>
        <w:p w14:paraId="6AD180A9" w14:textId="1ACE8A6F" w:rsidR="003905E2" w:rsidRDefault="00717082" w:rsidP="00717082">
          <w:pPr>
            <w:pStyle w:val="ListParagraph"/>
            <w:numPr>
              <w:ilvl w:val="1"/>
              <w:numId w:val="94"/>
            </w:numPr>
          </w:pPr>
          <w:r>
            <w:t>27</w:t>
          </w:r>
          <w:r w:rsidR="003905E2">
            <w:t>% had AOD-related needs</w:t>
          </w:r>
        </w:p>
        <w:p w14:paraId="0241C597" w14:textId="2BFF3D81" w:rsidR="003905E2" w:rsidRDefault="00717082" w:rsidP="00717082">
          <w:pPr>
            <w:pStyle w:val="ListParagraph"/>
            <w:numPr>
              <w:ilvl w:val="1"/>
              <w:numId w:val="94"/>
            </w:numPr>
          </w:pPr>
          <w:r>
            <w:t>93</w:t>
          </w:r>
          <w:r w:rsidR="003905E2">
            <w:t>% had mental health needs</w:t>
          </w:r>
        </w:p>
        <w:p w14:paraId="1B68AF19" w14:textId="591323AE" w:rsidR="003905E2" w:rsidRDefault="00717082" w:rsidP="00717082">
          <w:pPr>
            <w:pStyle w:val="ListParagraph"/>
            <w:numPr>
              <w:ilvl w:val="1"/>
              <w:numId w:val="110"/>
            </w:numPr>
          </w:pPr>
          <w:r>
            <w:t>71</w:t>
          </w:r>
          <w:r w:rsidR="003905E2">
            <w:t>% were experiencing social isolation.</w:t>
          </w:r>
        </w:p>
        <w:p w14:paraId="1D3E17F6" w14:textId="77777777" w:rsidR="002A37E4" w:rsidRDefault="002A37E4" w:rsidP="002A37E4">
          <w:pPr>
            <w:pStyle w:val="Heading3"/>
          </w:pPr>
          <w:r>
            <w:t>Clients from non-English speaking backgrounds</w:t>
          </w:r>
        </w:p>
        <w:p w14:paraId="7E0EB853" w14:textId="77777777" w:rsidR="00C55C15" w:rsidRDefault="00C55C15" w:rsidP="00C55C15">
          <w:r>
            <w:t>There were 248 clients (12%) who spoke a language other than English at home who accessed Drummond Street’s services during the COVID-19 period. Clients with a language other than English were at a higher risk of experiencing homelessness, financial insecurity and social isolation. The risk of financial insecurity and homelessness was exacerbated for clients with a language other than English who were also in a single parented household.</w:t>
          </w:r>
        </w:p>
        <w:p w14:paraId="15C2389F" w14:textId="30658F47" w:rsidR="00C55C15" w:rsidRDefault="00C55C15" w:rsidP="00C55C15">
          <w:pPr>
            <w:pStyle w:val="Heading4"/>
          </w:pPr>
          <w:r>
            <w:t>Co-</w:t>
          </w:r>
          <w:r w:rsidR="00B15700">
            <w:t>o</w:t>
          </w:r>
          <w:r>
            <w:t xml:space="preserve">ccurring </w:t>
          </w:r>
          <w:r w:rsidR="00B15700">
            <w:t>n</w:t>
          </w:r>
          <w:r>
            <w:t>eeds</w:t>
          </w:r>
        </w:p>
        <w:p w14:paraId="5702F7F6" w14:textId="77777777" w:rsidR="00C55C15" w:rsidRDefault="00C55C15" w:rsidP="00C55C15">
          <w:r>
            <w:t>Of Drummond Street’s clients who spoke a language other than English</w:t>
          </w:r>
          <w:r w:rsidRPr="00DC3E04">
            <w:t xml:space="preserve"> </w:t>
          </w:r>
          <w:r>
            <w:t>at home:</w:t>
          </w:r>
        </w:p>
        <w:p w14:paraId="27EF8E28" w14:textId="77777777" w:rsidR="00C55C15" w:rsidRPr="00436318" w:rsidRDefault="00C55C15" w:rsidP="00717082">
          <w:pPr>
            <w:pStyle w:val="ListParagraph"/>
            <w:numPr>
              <w:ilvl w:val="0"/>
              <w:numId w:val="23"/>
            </w:numPr>
          </w:pPr>
          <w:r w:rsidRPr="00436318">
            <w:t>44% (n=114) reported risk of homelessness, which was 3.4 times higher than clients who spoke English at home (19%)</w:t>
          </w:r>
        </w:p>
        <w:p w14:paraId="2C2D5CB0" w14:textId="77777777" w:rsidR="00C55C15" w:rsidRPr="00436318" w:rsidRDefault="00C55C15" w:rsidP="00717082">
          <w:pPr>
            <w:pStyle w:val="ListParagraph"/>
            <w:numPr>
              <w:ilvl w:val="0"/>
              <w:numId w:val="23"/>
            </w:numPr>
          </w:pPr>
          <w:r w:rsidRPr="00436318">
            <w:t>66% (n=173) reported risk of financial insecurity, which was 2.7 times higher than clients who spoke English at home (42%)</w:t>
          </w:r>
        </w:p>
        <w:p w14:paraId="6349A2B4" w14:textId="77777777" w:rsidR="00C55C15" w:rsidRPr="00436318" w:rsidRDefault="00C55C15" w:rsidP="00717082">
          <w:pPr>
            <w:pStyle w:val="ListParagraph"/>
            <w:numPr>
              <w:ilvl w:val="0"/>
              <w:numId w:val="23"/>
            </w:numPr>
          </w:pPr>
          <w:r w:rsidRPr="00436318">
            <w:t>10% (n=26) reported AOD-related needs, which was lower than the rate of clients who spoke English at home (16%)</w:t>
          </w:r>
        </w:p>
        <w:p w14:paraId="1AF3BA45" w14:textId="77777777" w:rsidR="00C55C15" w:rsidRPr="00436318" w:rsidRDefault="00C55C15" w:rsidP="00717082">
          <w:pPr>
            <w:pStyle w:val="ListParagraph"/>
            <w:numPr>
              <w:ilvl w:val="0"/>
              <w:numId w:val="23"/>
            </w:numPr>
          </w:pPr>
          <w:r w:rsidRPr="00436318">
            <w:t>91% (n=237) reported having mental health needs, which was the slightly lower than the rate of clients who spoke English at home (94%)</w:t>
          </w:r>
        </w:p>
        <w:p w14:paraId="133DAB9B" w14:textId="77777777" w:rsidR="00C55C15" w:rsidRPr="00436318" w:rsidRDefault="00C55C15" w:rsidP="00717082">
          <w:pPr>
            <w:pStyle w:val="ListParagraph"/>
            <w:numPr>
              <w:ilvl w:val="0"/>
              <w:numId w:val="23"/>
            </w:numPr>
          </w:pPr>
          <w:r w:rsidRPr="00436318">
            <w:t>74% (n=193) reported experiencing social isolation, which was 2.8 times higher than clients who spoke English at home (47%)</w:t>
          </w:r>
        </w:p>
        <w:p w14:paraId="3FED182C" w14:textId="77777777" w:rsidR="00C55C15" w:rsidRPr="00436318" w:rsidRDefault="00C55C15" w:rsidP="00717082">
          <w:pPr>
            <w:pStyle w:val="ListParagraph"/>
            <w:numPr>
              <w:ilvl w:val="0"/>
              <w:numId w:val="23"/>
            </w:numPr>
          </w:pPr>
          <w:r w:rsidRPr="00436318">
            <w:t>46% (n=119) were within single parented households – of these clients, 70% were experiencing financial insecurity (n=83) and 52% (n=62) were at risk of homelessness.</w:t>
          </w:r>
        </w:p>
        <w:p w14:paraId="32C62259" w14:textId="7B42C61A" w:rsidR="00C55C15" w:rsidRDefault="00C55C15" w:rsidP="00C55C15">
          <w:pPr>
            <w:pStyle w:val="Heading4"/>
          </w:pPr>
          <w:r>
            <w:t xml:space="preserve">Primary </w:t>
          </w:r>
          <w:r w:rsidR="00436318">
            <w:t>r</w:t>
          </w:r>
          <w:r>
            <w:t xml:space="preserve">easons for </w:t>
          </w:r>
          <w:r w:rsidR="00436318">
            <w:t>s</w:t>
          </w:r>
          <w:r>
            <w:t xml:space="preserve">eeking </w:t>
          </w:r>
          <w:r w:rsidR="00436318">
            <w:t>a</w:t>
          </w:r>
          <w:r>
            <w:t>ssistance</w:t>
          </w:r>
        </w:p>
        <w:p w14:paraId="76207DE1" w14:textId="77777777" w:rsidR="00C55C15" w:rsidRDefault="00C55C15" w:rsidP="00C55C15">
          <w:r>
            <w:t>Clients who spoke a language other than English at home were more likely to be seeking assistance for material support (11%) than clients who spoke English at home (2%). This cohort was also less likely to be seeking assistance for age-appropriate development (12%) compared to clients who spoke English at home (18%).</w:t>
          </w:r>
        </w:p>
        <w:p w14:paraId="578A20DD" w14:textId="03D6DCDF" w:rsidR="00C55C15" w:rsidRDefault="00C55C15" w:rsidP="00C55C15">
          <w:pPr>
            <w:pStyle w:val="Heading3"/>
          </w:pPr>
          <w:r>
            <w:t xml:space="preserve">First </w:t>
          </w:r>
          <w:r w:rsidR="00105C73">
            <w:t>N</w:t>
          </w:r>
          <w:r>
            <w:t xml:space="preserve">ations </w:t>
          </w:r>
          <w:r w:rsidR="00D5399B">
            <w:t>c</w:t>
          </w:r>
          <w:r>
            <w:t>lients</w:t>
          </w:r>
        </w:p>
        <w:p w14:paraId="691BAF80" w14:textId="77777777" w:rsidR="00C55C15" w:rsidRDefault="00C55C15" w:rsidP="00C55C15">
          <w:r w:rsidRPr="00870148">
            <w:t xml:space="preserve">There were </w:t>
          </w:r>
          <w:r>
            <w:t>112</w:t>
          </w:r>
          <w:r w:rsidRPr="00870148">
            <w:t xml:space="preserve"> clients (</w:t>
          </w:r>
          <w:r>
            <w:t>0.6</w:t>
          </w:r>
          <w:r w:rsidRPr="00870148">
            <w:t>%</w:t>
          </w:r>
          <w:r>
            <w:t xml:space="preserve"> of those who disclosed</w:t>
          </w:r>
          <w:r w:rsidRPr="00870148">
            <w:t xml:space="preserve">) who </w:t>
          </w:r>
          <w:r>
            <w:t>identified as Aboriginal and/or Torres Strait Islander</w:t>
          </w:r>
          <w:r w:rsidRPr="00870148">
            <w:t>, experienc</w:t>
          </w:r>
          <w:r>
            <w:t>ing</w:t>
          </w:r>
          <w:r w:rsidRPr="00870148">
            <w:t xml:space="preserve"> family violence and access</w:t>
          </w:r>
          <w:r>
            <w:t>ing</w:t>
          </w:r>
          <w:r w:rsidRPr="00870148">
            <w:t xml:space="preserve"> </w:t>
          </w:r>
          <w:r>
            <w:t>Drummond Street’s</w:t>
          </w:r>
          <w:r w:rsidRPr="00870148">
            <w:t xml:space="preserve"> services during the COVID-19 period</w:t>
          </w:r>
          <w:r>
            <w:t>.</w:t>
          </w:r>
          <w:r w:rsidRPr="00870148">
            <w:t xml:space="preserve"> </w:t>
          </w:r>
          <w:r>
            <w:t>48 clients did not disclose.</w:t>
          </w:r>
        </w:p>
        <w:p w14:paraId="6628ACF2" w14:textId="26CB77DB" w:rsidR="00C55C15" w:rsidRDefault="00C55C15" w:rsidP="00C55C15">
          <w:pPr>
            <w:pStyle w:val="Heading4"/>
          </w:pPr>
          <w:r>
            <w:t>Co-</w:t>
          </w:r>
          <w:r w:rsidR="00D5399B">
            <w:t>o</w:t>
          </w:r>
          <w:r>
            <w:t xml:space="preserve">ccurring </w:t>
          </w:r>
          <w:r w:rsidR="00D5399B">
            <w:t>n</w:t>
          </w:r>
          <w:r>
            <w:t>eeds</w:t>
          </w:r>
        </w:p>
        <w:p w14:paraId="417FABE3" w14:textId="77777777" w:rsidR="00C55C15" w:rsidRDefault="00C55C15" w:rsidP="00C55C15">
          <w:r>
            <w:t>Of Drummond Street’s First Nations clients:</w:t>
          </w:r>
        </w:p>
        <w:p w14:paraId="59F1F37D" w14:textId="77777777" w:rsidR="00C55C15" w:rsidRPr="00D5399B" w:rsidRDefault="00C55C15" w:rsidP="00717082">
          <w:pPr>
            <w:pStyle w:val="ListParagraph"/>
            <w:numPr>
              <w:ilvl w:val="0"/>
              <w:numId w:val="24"/>
            </w:numPr>
          </w:pPr>
          <w:r w:rsidRPr="00D5399B">
            <w:t>21% (n=24) reported risk of homelessness, which was slightly lower than non-First Nations clients (24%)</w:t>
          </w:r>
        </w:p>
        <w:p w14:paraId="3216DBF3" w14:textId="77777777" w:rsidR="00C55C15" w:rsidRPr="00D5399B" w:rsidRDefault="00C55C15" w:rsidP="00717082">
          <w:pPr>
            <w:pStyle w:val="ListParagraph"/>
            <w:numPr>
              <w:ilvl w:val="0"/>
              <w:numId w:val="24"/>
            </w:numPr>
          </w:pPr>
          <w:r w:rsidRPr="00D5399B">
            <w:t>55% (n=61) reported financial insecurity, which was 1.4 times higher than non-First Nations clients (45%)</w:t>
          </w:r>
        </w:p>
        <w:p w14:paraId="3200D571" w14:textId="77777777" w:rsidR="00C55C15" w:rsidRPr="00D5399B" w:rsidRDefault="00C55C15" w:rsidP="00717082">
          <w:pPr>
            <w:pStyle w:val="ListParagraph"/>
            <w:numPr>
              <w:ilvl w:val="0"/>
              <w:numId w:val="24"/>
            </w:numPr>
          </w:pPr>
          <w:r w:rsidRPr="00D5399B">
            <w:t>22% (n=86) reported AOD-related needs, which was slightly higher than non-First Nations clients (15%)</w:t>
          </w:r>
        </w:p>
        <w:p w14:paraId="6509138F" w14:textId="77777777" w:rsidR="00C55C15" w:rsidRPr="00D5399B" w:rsidRDefault="00C55C15" w:rsidP="00717082">
          <w:pPr>
            <w:pStyle w:val="ListParagraph"/>
            <w:numPr>
              <w:ilvl w:val="0"/>
              <w:numId w:val="24"/>
            </w:numPr>
          </w:pPr>
          <w:r w:rsidRPr="00D5399B">
            <w:t>83% (n=93) reported mental health needs which was lower than non-First Nations clients (95%)</w:t>
          </w:r>
        </w:p>
        <w:p w14:paraId="2840480A" w14:textId="77777777" w:rsidR="00C55C15" w:rsidRPr="00D5399B" w:rsidRDefault="00C55C15" w:rsidP="00717082">
          <w:pPr>
            <w:pStyle w:val="ListParagraph"/>
            <w:numPr>
              <w:ilvl w:val="0"/>
              <w:numId w:val="24"/>
            </w:numPr>
          </w:pPr>
          <w:r w:rsidRPr="00D5399B">
            <w:t>47% (n=53) reported social isolation, which was slightly lower than non-First Nations clients (51%).</w:t>
          </w:r>
        </w:p>
        <w:p w14:paraId="23EF89E1" w14:textId="7382D059" w:rsidR="00C55C15" w:rsidRDefault="00C55C15" w:rsidP="00C55C15">
          <w:pPr>
            <w:pStyle w:val="Heading4"/>
          </w:pPr>
          <w:r>
            <w:t xml:space="preserve">Primary </w:t>
          </w:r>
          <w:r w:rsidR="00D5399B">
            <w:t>r</w:t>
          </w:r>
          <w:r>
            <w:t xml:space="preserve">easons for </w:t>
          </w:r>
          <w:r w:rsidR="00D5399B">
            <w:t>s</w:t>
          </w:r>
          <w:r>
            <w:t xml:space="preserve">eeking </w:t>
          </w:r>
          <w:r w:rsidR="00D5399B">
            <w:t>a</w:t>
          </w:r>
          <w:r>
            <w:t>ssistance</w:t>
          </w:r>
        </w:p>
        <w:p w14:paraId="37894AF7" w14:textId="77777777" w:rsidR="00C55C15" w:rsidRDefault="00C55C15" w:rsidP="00C55C15">
          <w:r>
            <w:t>First Nations clients were more likely to seek assistance for personal and family safety (32%) than non-First Nations clients (19%). The remainder of the reasons for seeking support were very similar, aside from community support-related needs, which was very uncommon among First Nations clients.</w:t>
          </w:r>
        </w:p>
        <w:p w14:paraId="4B968CFB" w14:textId="08AB68F3" w:rsidR="00AF3E74" w:rsidRDefault="00AF3E74">
          <w:pPr>
            <w:spacing w:line="259" w:lineRule="auto"/>
          </w:pPr>
          <w:r>
            <w:br w:type="page"/>
          </w:r>
        </w:p>
        <w:p w14:paraId="67A4701B" w14:textId="45DA17F9" w:rsidR="00636B52" w:rsidRDefault="00636B52" w:rsidP="00636B52">
          <w:pPr>
            <w:pStyle w:val="Heading2"/>
          </w:pPr>
          <w:bookmarkStart w:id="19" w:name="_Toc95734882"/>
          <w:bookmarkStart w:id="20" w:name="_Toc98760932"/>
          <w:r>
            <w:t xml:space="preserve">Comparisons </w:t>
          </w:r>
          <w:r w:rsidR="00F75E6F">
            <w:t>p</w:t>
          </w:r>
          <w:r>
            <w:t xml:space="preserve">rior to and </w:t>
          </w:r>
          <w:r w:rsidR="00F75E6F">
            <w:t>d</w:t>
          </w:r>
          <w:r>
            <w:t>uring COVID-19</w:t>
          </w:r>
          <w:bookmarkEnd w:id="19"/>
          <w:bookmarkEnd w:id="20"/>
        </w:p>
        <w:p w14:paraId="2A6DB62B" w14:textId="77777777" w:rsidR="00636B52" w:rsidRDefault="00636B52" w:rsidP="00636B52">
          <w:r>
            <w:t>There were 2,083 clients who attended sessions in the period prior to COVID-19 (1 April 2018 to 30 September 2019), and 2,022 clients who attended sessions in the period during COVID-19 (1 April 2020 to 30 September 2021). A small number of clients continued from the period prior to COVID-19 into the period during COVID-19.</w:t>
          </w:r>
        </w:p>
        <w:p w14:paraId="4DF25AD9" w14:textId="77777777" w:rsidR="00636B52" w:rsidRDefault="00636B52" w:rsidP="00636B52">
          <w:r>
            <w:t>Overall, Drummond Street’s data showed an intensification of risk to wellbeing during COVID-19 compared to the period prior to COVID-19. This was demonstrated by:</w:t>
          </w:r>
        </w:p>
        <w:p w14:paraId="65941EC1" w14:textId="77777777" w:rsidR="00636B52" w:rsidRPr="00F75E6F" w:rsidRDefault="00636B52" w:rsidP="00717082">
          <w:pPr>
            <w:pStyle w:val="ListParagraph"/>
            <w:numPr>
              <w:ilvl w:val="0"/>
              <w:numId w:val="25"/>
            </w:numPr>
          </w:pPr>
          <w:r w:rsidRPr="00F75E6F">
            <w:t>an increase in intensive support and non-contact hours</w:t>
          </w:r>
        </w:p>
        <w:p w14:paraId="7E6CCFD7" w14:textId="77777777" w:rsidR="00636B52" w:rsidRPr="00F75E6F" w:rsidRDefault="00636B52" w:rsidP="00717082">
          <w:pPr>
            <w:pStyle w:val="ListParagraph"/>
            <w:numPr>
              <w:ilvl w:val="0"/>
              <w:numId w:val="25"/>
            </w:numPr>
          </w:pPr>
          <w:r w:rsidRPr="00F75E6F">
            <w:t>clients accessing services predominately for personal and family safety reasons, rather than other issues</w:t>
          </w:r>
        </w:p>
        <w:p w14:paraId="2F6E635E" w14:textId="77777777" w:rsidR="00636B52" w:rsidRPr="00F75E6F" w:rsidRDefault="00636B52" w:rsidP="00717082">
          <w:pPr>
            <w:pStyle w:val="ListParagraph"/>
            <w:numPr>
              <w:ilvl w:val="0"/>
              <w:numId w:val="25"/>
            </w:numPr>
          </w:pPr>
          <w:r w:rsidRPr="00F75E6F">
            <w:t>an increase in housing insecurity</w:t>
          </w:r>
        </w:p>
        <w:p w14:paraId="38E6D528" w14:textId="77777777" w:rsidR="00636B52" w:rsidRPr="00F75E6F" w:rsidRDefault="00636B52" w:rsidP="00717082">
          <w:pPr>
            <w:pStyle w:val="ListParagraph"/>
            <w:numPr>
              <w:ilvl w:val="0"/>
              <w:numId w:val="25"/>
            </w:numPr>
          </w:pPr>
          <w:r w:rsidRPr="00F75E6F">
            <w:t>an increase in mental health risk, where there was a large increase in suicide and self-harm risks.</w:t>
          </w:r>
        </w:p>
        <w:p w14:paraId="0A8C285D" w14:textId="42F218BC" w:rsidR="00636B52" w:rsidRDefault="00636B52" w:rsidP="00636B52">
          <w:pPr>
            <w:pStyle w:val="Heading3"/>
          </w:pPr>
          <w:r>
            <w:t xml:space="preserve">Service </w:t>
          </w:r>
          <w:r w:rsidR="00F75E6F">
            <w:t>a</w:t>
          </w:r>
          <w:r>
            <w:t>ccess</w:t>
          </w:r>
        </w:p>
        <w:p w14:paraId="3DF5408A" w14:textId="77777777" w:rsidR="00636B52" w:rsidRDefault="00636B52" w:rsidP="00636B52">
          <w:r>
            <w:t>There was a slight increase during COVID-19 in the length of support (7%) and the average number of sessions for closed cases (12%), while there was a small decrease in total clients (-3%). There was also a reduction in the number of closed cases during COVID-19. This is expected due to the cases prior to COVID-19 having more time to close since attendance in 2018 and 2019, as well as due to the increased need and complexity of cases that presented during the COVID-19 period.</w:t>
          </w:r>
        </w:p>
        <w:p w14:paraId="484097A1" w14:textId="58393239" w:rsidR="003D1240" w:rsidRDefault="002862F3" w:rsidP="003D1240">
          <w:r>
            <w:t xml:space="preserve">Between the period prior to COVID-19 and the period during </w:t>
          </w:r>
          <w:r w:rsidR="00D72F36">
            <w:t>COVID-19</w:t>
          </w:r>
          <w:r w:rsidR="005C71DE">
            <w:t>:</w:t>
          </w:r>
        </w:p>
        <w:p w14:paraId="7B843559" w14:textId="686EE92A" w:rsidR="00FB6408" w:rsidRDefault="005C71DE" w:rsidP="00717082">
          <w:pPr>
            <w:pStyle w:val="ListParagraph"/>
            <w:numPr>
              <w:ilvl w:val="0"/>
              <w:numId w:val="96"/>
            </w:numPr>
          </w:pPr>
          <w:r>
            <w:t>the a</w:t>
          </w:r>
          <w:r w:rsidR="00BA03C2">
            <w:t>verage length of support</w:t>
          </w:r>
          <w:r w:rsidR="008C04C2">
            <w:t xml:space="preserve"> </w:t>
          </w:r>
          <w:r w:rsidR="00D72F36">
            <w:t>(</w:t>
          </w:r>
          <w:r>
            <w:t xml:space="preserve">for </w:t>
          </w:r>
          <w:r w:rsidR="00D72F36">
            <w:t xml:space="preserve">both </w:t>
          </w:r>
          <w:r w:rsidR="008C04C2">
            <w:t>open and closed cases</w:t>
          </w:r>
          <w:r w:rsidR="00D72F36">
            <w:t>)</w:t>
          </w:r>
          <w:r>
            <w:t xml:space="preserve"> increased from </w:t>
          </w:r>
          <w:r w:rsidR="00FB6408">
            <w:t xml:space="preserve">260 days </w:t>
          </w:r>
          <w:r>
            <w:t xml:space="preserve">to </w:t>
          </w:r>
          <w:r w:rsidR="00FB6408">
            <w:t>268.9 days</w:t>
          </w:r>
        </w:p>
        <w:p w14:paraId="4655C9B5" w14:textId="50AD4730" w:rsidR="008C04C2" w:rsidRDefault="005C71DE" w:rsidP="00717082">
          <w:pPr>
            <w:pStyle w:val="ListParagraph"/>
            <w:numPr>
              <w:ilvl w:val="0"/>
              <w:numId w:val="96"/>
            </w:numPr>
          </w:pPr>
          <w:r>
            <w:t>the a</w:t>
          </w:r>
          <w:r w:rsidR="008C04C2">
            <w:t xml:space="preserve">verage length of support </w:t>
          </w:r>
          <w:r w:rsidR="00D72F36">
            <w:t>(</w:t>
          </w:r>
          <w:r w:rsidR="002862F3">
            <w:t xml:space="preserve">for </w:t>
          </w:r>
          <w:r w:rsidR="00D72F36">
            <w:t xml:space="preserve">only </w:t>
          </w:r>
          <w:r w:rsidR="008C04C2">
            <w:t>close</w:t>
          </w:r>
          <w:r w:rsidR="002862F3">
            <w:t>d</w:t>
          </w:r>
          <w:r w:rsidR="008C04C2">
            <w:t xml:space="preserve"> cases</w:t>
          </w:r>
          <w:r w:rsidR="00D72F36">
            <w:t>)</w:t>
          </w:r>
          <w:r w:rsidR="002862F3">
            <w:t xml:space="preserve"> increased from </w:t>
          </w:r>
          <w:r w:rsidR="008C04C2">
            <w:t xml:space="preserve">247.6 days </w:t>
          </w:r>
          <w:r w:rsidR="002862F3">
            <w:t xml:space="preserve">to </w:t>
          </w:r>
          <w:r w:rsidR="00623CA5">
            <w:t>265 days</w:t>
          </w:r>
        </w:p>
        <w:p w14:paraId="3221B53A" w14:textId="0732B8F4" w:rsidR="00623CA5" w:rsidRDefault="00D72F36" w:rsidP="00717082">
          <w:pPr>
            <w:pStyle w:val="ListParagraph"/>
            <w:numPr>
              <w:ilvl w:val="0"/>
              <w:numId w:val="96"/>
            </w:numPr>
          </w:pPr>
          <w:r>
            <w:t>the a</w:t>
          </w:r>
          <w:r w:rsidR="00623CA5">
            <w:t xml:space="preserve">verage number of sessions </w:t>
          </w:r>
          <w:r>
            <w:t xml:space="preserve">(for both </w:t>
          </w:r>
          <w:r w:rsidR="00623CA5">
            <w:t>open and closed cases)</w:t>
          </w:r>
          <w:r>
            <w:t xml:space="preserve"> increased slightly from 13.3 to 14</w:t>
          </w:r>
        </w:p>
        <w:p w14:paraId="459BD921" w14:textId="154C92EE" w:rsidR="006F4DB8" w:rsidRDefault="00D72F36" w:rsidP="00717082">
          <w:pPr>
            <w:pStyle w:val="ListParagraph"/>
            <w:numPr>
              <w:ilvl w:val="0"/>
              <w:numId w:val="96"/>
            </w:numPr>
          </w:pPr>
          <w:r>
            <w:t>the a</w:t>
          </w:r>
          <w:r w:rsidR="006F4DB8">
            <w:t>verage number of sessions (</w:t>
          </w:r>
          <w:r>
            <w:t xml:space="preserve">for only </w:t>
          </w:r>
          <w:r w:rsidR="006F4DB8">
            <w:t>closed cases)</w:t>
          </w:r>
          <w:r>
            <w:t xml:space="preserve"> increased</w:t>
          </w:r>
          <w:r w:rsidR="006E116A">
            <w:t xml:space="preserve"> from </w:t>
          </w:r>
          <w:r w:rsidR="006F4DB8">
            <w:t>12.6</w:t>
          </w:r>
          <w:r w:rsidR="005769F6">
            <w:t xml:space="preserve"> to </w:t>
          </w:r>
          <w:r w:rsidR="006F4DB8">
            <w:t>14.1</w:t>
          </w:r>
        </w:p>
        <w:p w14:paraId="41E536AC" w14:textId="20CE9510" w:rsidR="00F37C53" w:rsidRDefault="006E116A" w:rsidP="00717082">
          <w:pPr>
            <w:pStyle w:val="ListParagraph"/>
            <w:numPr>
              <w:ilvl w:val="0"/>
              <w:numId w:val="96"/>
            </w:numPr>
          </w:pPr>
          <w:r>
            <w:t>the n</w:t>
          </w:r>
          <w:r w:rsidR="00F37C53">
            <w:t>umber of clients (</w:t>
          </w:r>
          <w:r w:rsidR="00D451D2">
            <w:t xml:space="preserve">for both </w:t>
          </w:r>
          <w:r w:rsidR="00F37C53">
            <w:t>open and closed cases)</w:t>
          </w:r>
          <w:r w:rsidR="00D451D2">
            <w:t xml:space="preserve"> decreased from </w:t>
          </w:r>
          <w:r w:rsidR="00F37C53">
            <w:t>2,083</w:t>
          </w:r>
          <w:r w:rsidR="005769F6">
            <w:t xml:space="preserve"> to </w:t>
          </w:r>
          <w:r w:rsidR="00F37C53">
            <w:t>2,022</w:t>
          </w:r>
        </w:p>
        <w:p w14:paraId="326F026B" w14:textId="37E56D74" w:rsidR="005769F6" w:rsidRDefault="00D451D2" w:rsidP="00717082">
          <w:pPr>
            <w:pStyle w:val="ListParagraph"/>
            <w:numPr>
              <w:ilvl w:val="0"/>
              <w:numId w:val="96"/>
            </w:numPr>
          </w:pPr>
          <w:r>
            <w:t>the n</w:t>
          </w:r>
          <w:r w:rsidR="00F37C53">
            <w:t>umber of clients (</w:t>
          </w:r>
          <w:r>
            <w:t xml:space="preserve">for only </w:t>
          </w:r>
          <w:r w:rsidR="00F37C53">
            <w:t>closed cases)</w:t>
          </w:r>
          <w:r>
            <w:t xml:space="preserve"> decreased from </w:t>
          </w:r>
          <w:r w:rsidR="005769F6">
            <w:t>2,011</w:t>
          </w:r>
          <w:r w:rsidR="005769F6" w:rsidRPr="005769F6">
            <w:t xml:space="preserve"> </w:t>
          </w:r>
          <w:r w:rsidR="005769F6">
            <w:t>to 1,401</w:t>
          </w:r>
          <w:r>
            <w:t>.</w:t>
          </w:r>
        </w:p>
        <w:p w14:paraId="58F40AD2" w14:textId="6E647844" w:rsidR="00636B52" w:rsidRDefault="00636B52" w:rsidP="00636B52">
          <w:pPr>
            <w:pStyle w:val="Heading4"/>
          </w:pPr>
          <w:r>
            <w:t xml:space="preserve">Client </w:t>
          </w:r>
          <w:r w:rsidR="00F75E6F">
            <w:t>c</w:t>
          </w:r>
          <w:r>
            <w:t xml:space="preserve">ontact </w:t>
          </w:r>
          <w:r w:rsidR="00F75E6F">
            <w:t>h</w:t>
          </w:r>
          <w:r>
            <w:t>ours</w:t>
          </w:r>
        </w:p>
        <w:p w14:paraId="25500EE1" w14:textId="77777777" w:rsidR="00636B52" w:rsidRDefault="00636B52" w:rsidP="00636B52">
          <w:r>
            <w:t>During the COVID-19 period, practitioners also spent extensive time outside of regular sessions</w:t>
          </w:r>
          <w:r w:rsidDel="00152E7C">
            <w:t xml:space="preserve"> </w:t>
          </w:r>
          <w:r>
            <w:t>addressing the increased risk and complexity that clients were facing. These non-contact sessions included:</w:t>
          </w:r>
        </w:p>
        <w:p w14:paraId="0B57997F" w14:textId="77777777" w:rsidR="00636B52" w:rsidRPr="00F75E6F" w:rsidRDefault="00636B52" w:rsidP="00717082">
          <w:pPr>
            <w:pStyle w:val="ListParagraph"/>
            <w:numPr>
              <w:ilvl w:val="0"/>
              <w:numId w:val="26"/>
            </w:numPr>
          </w:pPr>
          <w:r w:rsidRPr="00F75E6F">
            <w:t>case consults</w:t>
          </w:r>
        </w:p>
        <w:p w14:paraId="3AA842C0" w14:textId="77777777" w:rsidR="00636B52" w:rsidRPr="00F75E6F" w:rsidRDefault="00636B52" w:rsidP="00717082">
          <w:pPr>
            <w:pStyle w:val="ListParagraph"/>
            <w:numPr>
              <w:ilvl w:val="0"/>
              <w:numId w:val="26"/>
            </w:numPr>
          </w:pPr>
          <w:r w:rsidRPr="00F75E6F">
            <w:t>care coordination meetings</w:t>
          </w:r>
        </w:p>
        <w:p w14:paraId="6415A0A1" w14:textId="77777777" w:rsidR="00636B52" w:rsidRPr="00F75E6F" w:rsidRDefault="00636B52" w:rsidP="00717082">
          <w:pPr>
            <w:pStyle w:val="ListParagraph"/>
            <w:numPr>
              <w:ilvl w:val="0"/>
              <w:numId w:val="26"/>
            </w:numPr>
          </w:pPr>
          <w:r w:rsidRPr="00F75E6F">
            <w:t>extensive case management work</w:t>
          </w:r>
        </w:p>
        <w:p w14:paraId="2CC03B5F" w14:textId="77777777" w:rsidR="00636B52" w:rsidRPr="00F75E6F" w:rsidRDefault="00636B52" w:rsidP="00717082">
          <w:pPr>
            <w:pStyle w:val="ListParagraph"/>
            <w:numPr>
              <w:ilvl w:val="0"/>
              <w:numId w:val="26"/>
            </w:numPr>
          </w:pPr>
          <w:r w:rsidRPr="00F75E6F">
            <w:t>liaising with other organisations including Child Protection.</w:t>
          </w:r>
        </w:p>
        <w:p w14:paraId="65B28127" w14:textId="77777777" w:rsidR="00636B52" w:rsidRDefault="00636B52" w:rsidP="00636B52">
          <w:r>
            <w:t>Drummond Street saw a substantial increase in both contact hours (46%) and non-contact hours (70%).</w:t>
          </w:r>
        </w:p>
        <w:p w14:paraId="33549B01" w14:textId="6E8DDF2B" w:rsidR="00636B52" w:rsidRDefault="00636B52" w:rsidP="00636B52">
          <w:pPr>
            <w:pStyle w:val="Heading4"/>
          </w:pPr>
          <w:r>
            <w:t xml:space="preserve">Support </w:t>
          </w:r>
          <w:r w:rsidR="00F75E6F">
            <w:t>t</w:t>
          </w:r>
          <w:r>
            <w:t>ype</w:t>
          </w:r>
        </w:p>
        <w:p w14:paraId="4FCB4683" w14:textId="77777777" w:rsidR="00636B52" w:rsidRDefault="00636B52" w:rsidP="00636B52">
          <w:r>
            <w:t>The support type describes the support that was given during sessions. This field was inconsistently completed, and differences across time should be interpreted cautiously. The increase in intensive support is consistent with what Drummond Street saw across the organisation during the COVID-19 period, where there was an intensification of client needs.</w:t>
          </w:r>
        </w:p>
        <w:p w14:paraId="445CDE90" w14:textId="77777777" w:rsidR="00636B52" w:rsidRDefault="00636B52" w:rsidP="00636B52">
          <w:r>
            <w:t>Additionally, outreach increased due to the restrictions that limited office contact during this time. Outreach for clients experiencing family violence</w:t>
          </w:r>
          <w:r w:rsidDel="004855FD">
            <w:t xml:space="preserve"> </w:t>
          </w:r>
          <w:r>
            <w:t>included:</w:t>
          </w:r>
        </w:p>
        <w:p w14:paraId="39D32563" w14:textId="77777777" w:rsidR="00636B52" w:rsidRPr="00F75E6F" w:rsidRDefault="00636B52" w:rsidP="00717082">
          <w:pPr>
            <w:pStyle w:val="ListParagraph"/>
            <w:numPr>
              <w:ilvl w:val="0"/>
              <w:numId w:val="27"/>
            </w:numPr>
          </w:pPr>
          <w:r w:rsidRPr="00F75E6F">
            <w:t>dropping off food and care packs</w:t>
          </w:r>
        </w:p>
        <w:p w14:paraId="744E1018" w14:textId="77777777" w:rsidR="00636B52" w:rsidRPr="00F75E6F" w:rsidRDefault="00636B52" w:rsidP="00717082">
          <w:pPr>
            <w:pStyle w:val="ListParagraph"/>
            <w:numPr>
              <w:ilvl w:val="0"/>
              <w:numId w:val="27"/>
            </w:numPr>
          </w:pPr>
          <w:r w:rsidRPr="00F75E6F">
            <w:t>welfare checks</w:t>
          </w:r>
        </w:p>
        <w:p w14:paraId="71CC4D58" w14:textId="77777777" w:rsidR="00636B52" w:rsidRPr="00F75E6F" w:rsidRDefault="00636B52" w:rsidP="00717082">
          <w:pPr>
            <w:pStyle w:val="ListParagraph"/>
            <w:numPr>
              <w:ilvl w:val="0"/>
              <w:numId w:val="27"/>
            </w:numPr>
          </w:pPr>
          <w:r w:rsidRPr="00F75E6F">
            <w:t>supporting child contact</w:t>
          </w:r>
        </w:p>
        <w:p w14:paraId="45C02713" w14:textId="77777777" w:rsidR="00636B52" w:rsidRPr="00F75E6F" w:rsidRDefault="00636B52" w:rsidP="00717082">
          <w:pPr>
            <w:pStyle w:val="ListParagraph"/>
            <w:numPr>
              <w:ilvl w:val="0"/>
              <w:numId w:val="27"/>
            </w:numPr>
          </w:pPr>
          <w:r w:rsidRPr="00F75E6F">
            <w:t>going for walks and providing support to clients who were not coping</w:t>
          </w:r>
        </w:p>
        <w:p w14:paraId="77A7D259" w14:textId="77777777" w:rsidR="00636B52" w:rsidRDefault="00636B52" w:rsidP="00717082">
          <w:pPr>
            <w:pStyle w:val="ListParagraph"/>
            <w:numPr>
              <w:ilvl w:val="0"/>
              <w:numId w:val="27"/>
            </w:numPr>
          </w:pPr>
          <w:r w:rsidRPr="00F75E6F">
            <w:t>supporting people as they moved into safe accommodation.</w:t>
          </w:r>
        </w:p>
        <w:p w14:paraId="00A78C72" w14:textId="7427D8DC" w:rsidR="00DA7EDC" w:rsidRDefault="0064791E" w:rsidP="00DA7EDC">
          <w:r>
            <w:t xml:space="preserve">Between </w:t>
          </w:r>
          <w:r w:rsidR="00DA7EDC">
            <w:t xml:space="preserve">the two time periods this case study examines, </w:t>
          </w:r>
          <w:r w:rsidR="002734E9">
            <w:t xml:space="preserve">Drummond Street Services </w:t>
          </w:r>
          <w:r>
            <w:t xml:space="preserve">saw </w:t>
          </w:r>
          <w:r w:rsidR="002734E9">
            <w:t xml:space="preserve">the following </w:t>
          </w:r>
          <w:r>
            <w:t xml:space="preserve">changes in the </w:t>
          </w:r>
          <w:r w:rsidR="002734E9">
            <w:t xml:space="preserve">types of support </w:t>
          </w:r>
          <w:r>
            <w:t xml:space="preserve">it provided </w:t>
          </w:r>
          <w:r w:rsidR="002734E9">
            <w:t>to its clients</w:t>
          </w:r>
          <w:r>
            <w:t>:</w:t>
          </w:r>
        </w:p>
        <w:p w14:paraId="3879EB4B" w14:textId="2849DC0F" w:rsidR="007C7EDE" w:rsidRDefault="0064791E" w:rsidP="00717082">
          <w:pPr>
            <w:pStyle w:val="ListParagraph"/>
            <w:numPr>
              <w:ilvl w:val="0"/>
              <w:numId w:val="97"/>
            </w:numPr>
          </w:pPr>
          <w:r>
            <w:t xml:space="preserve">advocacy and community capacity building increased from 526 to 679 records of support </w:t>
          </w:r>
        </w:p>
        <w:p w14:paraId="17CC9349" w14:textId="7CDC188E" w:rsidR="0072716E" w:rsidRDefault="0064791E" w:rsidP="00717082">
          <w:pPr>
            <w:pStyle w:val="ListParagraph"/>
            <w:numPr>
              <w:ilvl w:val="0"/>
              <w:numId w:val="97"/>
            </w:numPr>
          </w:pPr>
          <w:r>
            <w:t xml:space="preserve">counselling decreased from 1,527 to 1,457 records of support </w:t>
          </w:r>
        </w:p>
        <w:p w14:paraId="6B906A24" w14:textId="00FC4743" w:rsidR="008C18F4" w:rsidRDefault="0064791E" w:rsidP="00717082">
          <w:pPr>
            <w:pStyle w:val="ListParagraph"/>
            <w:numPr>
              <w:ilvl w:val="0"/>
              <w:numId w:val="97"/>
            </w:numPr>
          </w:pPr>
          <w:r>
            <w:t xml:space="preserve">dispute resolution decreased from 10 to 0 records of support </w:t>
          </w:r>
        </w:p>
        <w:p w14:paraId="1FD95A5D" w14:textId="14DB2E3E" w:rsidR="00037E2D" w:rsidRDefault="0064791E" w:rsidP="00717082">
          <w:pPr>
            <w:pStyle w:val="ListParagraph"/>
            <w:numPr>
              <w:ilvl w:val="0"/>
              <w:numId w:val="97"/>
            </w:numPr>
          </w:pPr>
          <w:r>
            <w:t xml:space="preserve">education and skills training increased from 65 to 113 records of support </w:t>
          </w:r>
        </w:p>
        <w:p w14:paraId="6EDC6B7B" w14:textId="6DAC2158" w:rsidR="00037E2D" w:rsidRDefault="0064791E" w:rsidP="00717082">
          <w:pPr>
            <w:pStyle w:val="ListParagraph"/>
            <w:numPr>
              <w:ilvl w:val="0"/>
              <w:numId w:val="97"/>
            </w:numPr>
          </w:pPr>
          <w:r>
            <w:t xml:space="preserve">family capacity building decreased from 670 to 631 records of support </w:t>
          </w:r>
        </w:p>
        <w:p w14:paraId="27E8CAED" w14:textId="413DF8C0" w:rsidR="00945B5D" w:rsidRDefault="0064791E" w:rsidP="00717082">
          <w:pPr>
            <w:pStyle w:val="ListParagraph"/>
            <w:numPr>
              <w:ilvl w:val="0"/>
              <w:numId w:val="97"/>
            </w:numPr>
          </w:pPr>
          <w:r>
            <w:t xml:space="preserve">information or referral increased from 115 to 225 records of support </w:t>
          </w:r>
        </w:p>
        <w:p w14:paraId="3FDD99DF" w14:textId="3D0E7441" w:rsidR="00945B5D" w:rsidRDefault="0064791E" w:rsidP="00717082">
          <w:pPr>
            <w:pStyle w:val="ListParagraph"/>
            <w:numPr>
              <w:ilvl w:val="0"/>
              <w:numId w:val="97"/>
            </w:numPr>
          </w:pPr>
          <w:r>
            <w:t xml:space="preserve">intensive support increased from 1 to 41 records of support </w:t>
          </w:r>
        </w:p>
        <w:p w14:paraId="65EB6B8A" w14:textId="56944489" w:rsidR="00924F07" w:rsidRDefault="0064791E" w:rsidP="00717082">
          <w:pPr>
            <w:pStyle w:val="ListParagraph"/>
            <w:numPr>
              <w:ilvl w:val="0"/>
              <w:numId w:val="97"/>
            </w:numPr>
          </w:pPr>
          <w:r>
            <w:t xml:space="preserve">mentoring increased from 18 to 23 records of support </w:t>
          </w:r>
        </w:p>
        <w:p w14:paraId="284E076C" w14:textId="7AEB5DA4" w:rsidR="00924F07" w:rsidRPr="00F75E6F" w:rsidRDefault="0064791E" w:rsidP="00717082">
          <w:pPr>
            <w:pStyle w:val="ListParagraph"/>
            <w:numPr>
              <w:ilvl w:val="0"/>
              <w:numId w:val="97"/>
            </w:numPr>
          </w:pPr>
          <w:r>
            <w:t>outreach increased from 63 to 244 records of support.</w:t>
          </w:r>
        </w:p>
        <w:p w14:paraId="4AD129DE" w14:textId="0D5BF5E5" w:rsidR="00636B52" w:rsidRDefault="00636B52" w:rsidP="00636B52">
          <w:pPr>
            <w:pStyle w:val="Heading4"/>
          </w:pPr>
          <w:r>
            <w:t xml:space="preserve">External </w:t>
          </w:r>
          <w:r w:rsidR="00955707">
            <w:t>r</w:t>
          </w:r>
          <w:r>
            <w:t>eferrals</w:t>
          </w:r>
        </w:p>
        <w:p w14:paraId="553FF999" w14:textId="71C266F4" w:rsidR="00636B52" w:rsidRDefault="00636B52" w:rsidP="00636B52">
          <w:r>
            <w:t xml:space="preserve">‘External referrals’ was another field that was poorly recorded, meaning interpretations are limited. There were external referrals made for 171 clients (8%) prior to COVID-19 and 157 clients (7.7%) during COVID-19. </w:t>
          </w:r>
        </w:p>
        <w:p w14:paraId="12573528" w14:textId="77777777" w:rsidR="00636B52" w:rsidRDefault="00636B52" w:rsidP="00636B52">
          <w:r>
            <w:t>Overall, there was a large increase during the COVID-19 period of the percentage of referrals that were made to:</w:t>
          </w:r>
        </w:p>
        <w:p w14:paraId="369EF974" w14:textId="77777777" w:rsidR="00636B52" w:rsidRPr="00955707" w:rsidRDefault="00636B52" w:rsidP="00717082">
          <w:pPr>
            <w:pStyle w:val="ListParagraph"/>
            <w:numPr>
              <w:ilvl w:val="0"/>
              <w:numId w:val="28"/>
            </w:numPr>
          </w:pPr>
          <w:r w:rsidRPr="00955707">
            <w:t>community</w:t>
          </w:r>
        </w:p>
        <w:p w14:paraId="0BD49A48" w14:textId="77777777" w:rsidR="00636B52" w:rsidRPr="00955707" w:rsidRDefault="00636B52" w:rsidP="00717082">
          <w:pPr>
            <w:pStyle w:val="ListParagraph"/>
            <w:numPr>
              <w:ilvl w:val="0"/>
              <w:numId w:val="28"/>
            </w:numPr>
          </w:pPr>
          <w:r w:rsidRPr="00955707">
            <w:t>family violence support</w:t>
          </w:r>
        </w:p>
        <w:p w14:paraId="762F660A" w14:textId="77777777" w:rsidR="00636B52" w:rsidRPr="00955707" w:rsidRDefault="00636B52" w:rsidP="00717082">
          <w:pPr>
            <w:pStyle w:val="ListParagraph"/>
            <w:numPr>
              <w:ilvl w:val="0"/>
              <w:numId w:val="28"/>
            </w:numPr>
          </w:pPr>
          <w:r w:rsidRPr="00955707">
            <w:t>family support providers</w:t>
          </w:r>
        </w:p>
        <w:p w14:paraId="136A7C15" w14:textId="77777777" w:rsidR="00636B52" w:rsidRPr="00955707" w:rsidRDefault="00636B52" w:rsidP="00717082">
          <w:pPr>
            <w:pStyle w:val="ListParagraph"/>
            <w:numPr>
              <w:ilvl w:val="0"/>
              <w:numId w:val="28"/>
            </w:numPr>
          </w:pPr>
          <w:r w:rsidRPr="00955707">
            <w:t>legal agencies</w:t>
          </w:r>
        </w:p>
        <w:p w14:paraId="7726DB36" w14:textId="77777777" w:rsidR="00636B52" w:rsidRPr="00955707" w:rsidRDefault="00636B52" w:rsidP="00717082">
          <w:pPr>
            <w:pStyle w:val="ListParagraph"/>
            <w:numPr>
              <w:ilvl w:val="0"/>
              <w:numId w:val="28"/>
            </w:numPr>
          </w:pPr>
          <w:r w:rsidRPr="00955707">
            <w:t>men’s services</w:t>
          </w:r>
        </w:p>
        <w:p w14:paraId="28B49F8E" w14:textId="77777777" w:rsidR="00636B52" w:rsidRPr="00955707" w:rsidRDefault="00636B52" w:rsidP="00717082">
          <w:pPr>
            <w:pStyle w:val="ListParagraph"/>
            <w:numPr>
              <w:ilvl w:val="0"/>
              <w:numId w:val="28"/>
            </w:numPr>
          </w:pPr>
          <w:r w:rsidRPr="00955707">
            <w:t>housing</w:t>
          </w:r>
        </w:p>
        <w:p w14:paraId="3459C4A8" w14:textId="77777777" w:rsidR="00636B52" w:rsidRPr="00955707" w:rsidRDefault="00636B52" w:rsidP="00717082">
          <w:pPr>
            <w:pStyle w:val="ListParagraph"/>
            <w:numPr>
              <w:ilvl w:val="0"/>
              <w:numId w:val="28"/>
            </w:numPr>
          </w:pPr>
          <w:r w:rsidRPr="00955707">
            <w:t>early childhood organisations.</w:t>
          </w:r>
        </w:p>
        <w:p w14:paraId="72DA321A" w14:textId="36E41CA5" w:rsidR="00636B52" w:rsidRDefault="00636B52" w:rsidP="00636B52">
          <w:r>
            <w:t>There was a decrease in the percentage of health or GP referrals, and the number of Child Protection referrals remained the same.</w:t>
          </w:r>
        </w:p>
        <w:p w14:paraId="076494BE" w14:textId="41C47D08" w:rsidR="0064791E" w:rsidRDefault="0064791E" w:rsidP="0064791E">
          <w:r>
            <w:t>Between</w:t>
          </w:r>
          <w:r w:rsidR="00D44F28">
            <w:t xml:space="preserve"> the two time periods this case study examines, Drummond Street Services </w:t>
          </w:r>
          <w:r w:rsidR="00D733EB">
            <w:t xml:space="preserve">recorded the following </w:t>
          </w:r>
          <w:r>
            <w:t xml:space="preserve">changes in its </w:t>
          </w:r>
          <w:r w:rsidR="00D733EB">
            <w:t>referrals</w:t>
          </w:r>
          <w:r w:rsidR="00A97048">
            <w:t xml:space="preserve"> to these types of external </w:t>
          </w:r>
          <w:r w:rsidR="0051655A">
            <w:t>agencies</w:t>
          </w:r>
          <w:r>
            <w:t>:</w:t>
          </w:r>
        </w:p>
        <w:p w14:paraId="53211F67" w14:textId="05052980" w:rsidR="00735FA5" w:rsidRDefault="0064791E" w:rsidP="00717082">
          <w:pPr>
            <w:pStyle w:val="ListParagraph"/>
            <w:numPr>
              <w:ilvl w:val="0"/>
              <w:numId w:val="98"/>
            </w:numPr>
          </w:pPr>
          <w:r>
            <w:t xml:space="preserve">community referrals increased by 119.2%, from 9.9% of all referrals (n=17) to </w:t>
          </w:r>
          <w:r w:rsidRPr="0094119E">
            <w:t>21.7%</w:t>
          </w:r>
          <w:r>
            <w:t xml:space="preserve"> of all referrals (n=</w:t>
          </w:r>
          <w:r w:rsidRPr="0094119E">
            <w:t>34</w:t>
          </w:r>
          <w:r>
            <w:t>)</w:t>
          </w:r>
        </w:p>
        <w:p w14:paraId="03021ED8" w14:textId="54163E63" w:rsidR="00A45490" w:rsidRDefault="0064791E" w:rsidP="00717082">
          <w:pPr>
            <w:pStyle w:val="ListParagraph"/>
            <w:numPr>
              <w:ilvl w:val="0"/>
              <w:numId w:val="98"/>
            </w:numPr>
          </w:pPr>
          <w:r>
            <w:t xml:space="preserve">Child Protection referrals increased by 7.5%, from </w:t>
          </w:r>
          <w:r w:rsidRPr="0094119E">
            <w:t>5.3%</w:t>
          </w:r>
          <w:r>
            <w:t xml:space="preserve"> (n=</w:t>
          </w:r>
          <w:r w:rsidRPr="0094119E">
            <w:t>9</w:t>
          </w:r>
          <w:r>
            <w:t xml:space="preserve">) to </w:t>
          </w:r>
          <w:r w:rsidRPr="0094119E">
            <w:t>5.7%</w:t>
          </w:r>
          <w:r>
            <w:t xml:space="preserve"> (n=</w:t>
          </w:r>
          <w:r w:rsidRPr="0094119E">
            <w:t>9</w:t>
          </w:r>
          <w:r>
            <w:t xml:space="preserve">) </w:t>
          </w:r>
        </w:p>
        <w:p w14:paraId="2329C93E" w14:textId="60EEE40B" w:rsidR="00A45490" w:rsidRDefault="0064791E" w:rsidP="00717082">
          <w:pPr>
            <w:pStyle w:val="ListParagraph"/>
            <w:numPr>
              <w:ilvl w:val="0"/>
              <w:numId w:val="98"/>
            </w:numPr>
          </w:pPr>
          <w:r>
            <w:t xml:space="preserve">early childhood referrals increased by 59.2%, from </w:t>
          </w:r>
          <w:r w:rsidRPr="0094119E">
            <w:t>7.6%</w:t>
          </w:r>
          <w:r>
            <w:t xml:space="preserve"> (n=</w:t>
          </w:r>
          <w:r w:rsidRPr="0094119E">
            <w:t>13</w:t>
          </w:r>
          <w:r>
            <w:t xml:space="preserve">) to </w:t>
          </w:r>
          <w:r w:rsidRPr="0094119E">
            <w:t>12.1%</w:t>
          </w:r>
          <w:r>
            <w:t xml:space="preserve"> (n=</w:t>
          </w:r>
          <w:r w:rsidRPr="0094119E">
            <w:t>19</w:t>
          </w:r>
          <w:r>
            <w:t>)</w:t>
          </w:r>
        </w:p>
        <w:p w14:paraId="574186A0" w14:textId="6FE59128" w:rsidR="00D615F8" w:rsidRDefault="0064791E" w:rsidP="00717082">
          <w:pPr>
            <w:pStyle w:val="ListParagraph"/>
            <w:numPr>
              <w:ilvl w:val="0"/>
              <w:numId w:val="98"/>
            </w:numPr>
          </w:pPr>
          <w:r>
            <w:t xml:space="preserve">education and training referrals increased by 108.3%, from </w:t>
          </w:r>
          <w:r>
            <w:rPr>
              <w:lang w:eastAsia="zh-CN"/>
            </w:rPr>
            <w:t>1.2% (n=2) to 2.5% (n=4)</w:t>
          </w:r>
        </w:p>
        <w:p w14:paraId="676E18DE" w14:textId="7DF6209A" w:rsidR="00D615F8" w:rsidRDefault="0064791E" w:rsidP="00717082">
          <w:pPr>
            <w:pStyle w:val="ListParagraph"/>
            <w:numPr>
              <w:ilvl w:val="0"/>
              <w:numId w:val="98"/>
            </w:numPr>
            <w:rPr>
              <w:lang w:eastAsia="zh-CN"/>
            </w:rPr>
          </w:pPr>
          <w:r>
            <w:t xml:space="preserve">employment or job placement referrals increased from </w:t>
          </w:r>
          <w:r>
            <w:rPr>
              <w:lang w:eastAsia="zh-CN"/>
            </w:rPr>
            <w:t>0% (n=0) to 0.6% (n=1)</w:t>
          </w:r>
        </w:p>
        <w:p w14:paraId="0681970B" w14:textId="091E4A69" w:rsidR="007B271F" w:rsidRDefault="0064791E" w:rsidP="00717082">
          <w:pPr>
            <w:pStyle w:val="ListParagraph"/>
            <w:numPr>
              <w:ilvl w:val="0"/>
              <w:numId w:val="98"/>
            </w:numPr>
          </w:pPr>
          <w:r>
            <w:t xml:space="preserve">family support provider referrals increased by 35%, from </w:t>
          </w:r>
          <w:r>
            <w:rPr>
              <w:lang w:eastAsia="zh-CN"/>
            </w:rPr>
            <w:t>12.3% (n=21) to 16.6% (n=26)</w:t>
          </w:r>
        </w:p>
        <w:p w14:paraId="4BE21824" w14:textId="53F36417" w:rsidR="007B271F" w:rsidRDefault="0064791E" w:rsidP="00717082">
          <w:pPr>
            <w:pStyle w:val="ListParagraph"/>
            <w:numPr>
              <w:ilvl w:val="0"/>
              <w:numId w:val="98"/>
            </w:numPr>
            <w:rPr>
              <w:lang w:eastAsia="zh-CN"/>
            </w:rPr>
          </w:pPr>
          <w:r>
            <w:t xml:space="preserve">family violence support referrals increased by 141.4%, from </w:t>
          </w:r>
          <w:r>
            <w:rPr>
              <w:lang w:eastAsia="zh-CN"/>
            </w:rPr>
            <w:t>5.8% (n=10) to 14% (n=22)</w:t>
          </w:r>
        </w:p>
        <w:p w14:paraId="41AE5A47" w14:textId="438D42CE" w:rsidR="007B271F" w:rsidRDefault="0064791E" w:rsidP="00717082">
          <w:pPr>
            <w:pStyle w:val="ListParagraph"/>
            <w:numPr>
              <w:ilvl w:val="0"/>
              <w:numId w:val="98"/>
            </w:numPr>
            <w:rPr>
              <w:lang w:eastAsia="zh-CN"/>
            </w:rPr>
          </w:pPr>
          <w:r>
            <w:t xml:space="preserve">health or GP referrals decreased by 82.9%, from </w:t>
          </w:r>
          <w:r>
            <w:rPr>
              <w:lang w:eastAsia="zh-CN"/>
            </w:rPr>
            <w:t>7.6% (n=13) to 1.3% (n=2)</w:t>
          </w:r>
        </w:p>
        <w:p w14:paraId="55CD9A48" w14:textId="5AE6FCE7" w:rsidR="007B271F" w:rsidRDefault="0064791E" w:rsidP="00717082">
          <w:pPr>
            <w:pStyle w:val="ListParagraph"/>
            <w:numPr>
              <w:ilvl w:val="0"/>
              <w:numId w:val="98"/>
            </w:numPr>
          </w:pPr>
          <w:r>
            <w:t xml:space="preserve">housing support referrals increased by 147.8%, from </w:t>
          </w:r>
          <w:r>
            <w:rPr>
              <w:lang w:eastAsia="zh-CN"/>
            </w:rPr>
            <w:t>2.3% (n=4) to 5.7% (n=9)</w:t>
          </w:r>
        </w:p>
        <w:p w14:paraId="24161DC0" w14:textId="770C92D7" w:rsidR="007B271F" w:rsidRDefault="0064791E" w:rsidP="00717082">
          <w:pPr>
            <w:pStyle w:val="ListParagraph"/>
            <w:numPr>
              <w:ilvl w:val="0"/>
              <w:numId w:val="98"/>
            </w:numPr>
            <w:rPr>
              <w:lang w:eastAsia="zh-CN"/>
            </w:rPr>
          </w:pPr>
          <w:r>
            <w:t xml:space="preserve">legal agency referrals increased from </w:t>
          </w:r>
          <w:r>
            <w:rPr>
              <w:lang w:eastAsia="zh-CN"/>
            </w:rPr>
            <w:t>0% (n=0) to 5.1% (n=8)</w:t>
          </w:r>
        </w:p>
        <w:p w14:paraId="64EA21A2" w14:textId="6D69B05F" w:rsidR="00823C69" w:rsidRDefault="0064791E" w:rsidP="00717082">
          <w:pPr>
            <w:pStyle w:val="ListParagraph"/>
            <w:numPr>
              <w:ilvl w:val="0"/>
              <w:numId w:val="98"/>
            </w:numPr>
            <w:rPr>
              <w:lang w:eastAsia="zh-CN"/>
            </w:rPr>
          </w:pPr>
          <w:r>
            <w:rPr>
              <w:lang w:eastAsia="zh-CN"/>
            </w:rPr>
            <w:t>men’s service</w:t>
          </w:r>
          <w:r>
            <w:t xml:space="preserve"> referrals </w:t>
          </w:r>
          <w:r w:rsidR="005522A4">
            <w:t xml:space="preserve">increased </w:t>
          </w:r>
          <w:r>
            <w:t xml:space="preserve">from </w:t>
          </w:r>
          <w:r>
            <w:rPr>
              <w:lang w:eastAsia="zh-CN"/>
            </w:rPr>
            <w:t>0% (n=0) to 3.8% (n=6)</w:t>
          </w:r>
        </w:p>
        <w:p w14:paraId="7AD3EBA3" w14:textId="2F09A50C" w:rsidR="00D3178F" w:rsidRDefault="0064791E" w:rsidP="00717082">
          <w:pPr>
            <w:pStyle w:val="ListParagraph"/>
            <w:numPr>
              <w:ilvl w:val="0"/>
              <w:numId w:val="98"/>
            </w:numPr>
            <w:rPr>
              <w:lang w:eastAsia="zh-CN"/>
            </w:rPr>
          </w:pPr>
          <w:r>
            <w:rPr>
              <w:lang w:eastAsia="zh-CN"/>
            </w:rPr>
            <w:t xml:space="preserve">psychological or psychiatric service referrals </w:t>
          </w:r>
          <w:r w:rsidR="00E262B5">
            <w:rPr>
              <w:lang w:eastAsia="zh-CN"/>
            </w:rPr>
            <w:t>stayed the same at</w:t>
          </w:r>
          <w:r>
            <w:rPr>
              <w:lang w:eastAsia="zh-CN"/>
            </w:rPr>
            <w:t xml:space="preserve"> 0% prior to and during COVID-19</w:t>
          </w:r>
        </w:p>
        <w:p w14:paraId="27CD19F0" w14:textId="56DCE2EB" w:rsidR="00823C69" w:rsidRDefault="0064791E" w:rsidP="00717082">
          <w:pPr>
            <w:pStyle w:val="ListParagraph"/>
            <w:numPr>
              <w:ilvl w:val="0"/>
              <w:numId w:val="98"/>
            </w:numPr>
            <w:rPr>
              <w:lang w:eastAsia="zh-CN"/>
            </w:rPr>
          </w:pPr>
          <w:r>
            <w:rPr>
              <w:lang w:eastAsia="zh-CN"/>
            </w:rPr>
            <w:t>sexual assault support referrals increased from 0% (n=0) to 0.6% (n=1)</w:t>
          </w:r>
        </w:p>
        <w:p w14:paraId="177262AE" w14:textId="6E272060" w:rsidR="0064791E" w:rsidRDefault="0064791E" w:rsidP="00717082">
          <w:pPr>
            <w:pStyle w:val="ListParagraph"/>
            <w:numPr>
              <w:ilvl w:val="0"/>
              <w:numId w:val="98"/>
            </w:numPr>
            <w:rPr>
              <w:lang w:eastAsia="zh-CN"/>
            </w:rPr>
          </w:pPr>
          <w:r>
            <w:rPr>
              <w:lang w:eastAsia="zh-CN"/>
            </w:rPr>
            <w:t>all other agency</w:t>
          </w:r>
          <w:r>
            <w:t xml:space="preserve"> referrals increased by 128.3%, from </w:t>
          </w:r>
          <w:r>
            <w:rPr>
              <w:lang w:eastAsia="zh-CN"/>
            </w:rPr>
            <w:t>5.3% (n=9) to 12.1% (n=19).</w:t>
          </w:r>
        </w:p>
        <w:p w14:paraId="6EF7FD12" w14:textId="153672F1" w:rsidR="00F92818" w:rsidRPr="00F92818" w:rsidRDefault="00B1179E" w:rsidP="0064791E">
          <w:pPr>
            <w:rPr>
              <w:lang w:eastAsia="zh-CN"/>
            </w:rPr>
          </w:pPr>
          <w:r>
            <w:rPr>
              <w:lang w:eastAsia="zh-CN"/>
            </w:rPr>
            <w:t xml:space="preserve">A total of 171 external referrals were made in the period prior to COVID-19 </w:t>
          </w:r>
          <w:r w:rsidR="00E662CA">
            <w:rPr>
              <w:lang w:eastAsia="zh-CN"/>
            </w:rPr>
            <w:t xml:space="preserve">and 157 external referrals were made during the COVID-19 period. </w:t>
          </w:r>
        </w:p>
        <w:p w14:paraId="5D75CB91" w14:textId="6521DF12" w:rsidR="00636B52" w:rsidRDefault="00636B52" w:rsidP="00636B52">
          <w:pPr>
            <w:pStyle w:val="Heading3"/>
          </w:pPr>
          <w:bookmarkStart w:id="21" w:name="_Co-occurring_needs"/>
          <w:bookmarkEnd w:id="21"/>
          <w:r>
            <w:t>Co-</w:t>
          </w:r>
          <w:r w:rsidR="00955707">
            <w:t>o</w:t>
          </w:r>
          <w:r>
            <w:t xml:space="preserve">ccurring </w:t>
          </w:r>
          <w:r w:rsidR="00955707">
            <w:t>n</w:t>
          </w:r>
          <w:r>
            <w:t>eeds</w:t>
          </w:r>
        </w:p>
        <w:p w14:paraId="0B0F4EDF" w14:textId="77777777" w:rsidR="00636B52" w:rsidRDefault="00636B52" w:rsidP="00636B52">
          <w:r>
            <w:t>During the COVID-19 period, the risk of homelessness for clients experiencing family violence increased by 30%, or around 90 additional clients. However, when further exploring this, although housing insecurity substantially increased, the number of clients becoming homeless remained the same. This is likely due to the increases in:</w:t>
          </w:r>
        </w:p>
        <w:p w14:paraId="655188A4" w14:textId="77777777" w:rsidR="00636B52" w:rsidRPr="00955707" w:rsidRDefault="00636B52" w:rsidP="00717082">
          <w:pPr>
            <w:pStyle w:val="ListParagraph"/>
            <w:numPr>
              <w:ilvl w:val="0"/>
              <w:numId w:val="29"/>
            </w:numPr>
          </w:pPr>
          <w:r w:rsidRPr="00955707">
            <w:t>brokerage and support for housing insecurity during this time (over $41,000, Drummond Street’s second largest category of brokerage support)</w:t>
          </w:r>
        </w:p>
        <w:p w14:paraId="03F3EE4C" w14:textId="77777777" w:rsidR="00636B52" w:rsidRPr="00955707" w:rsidRDefault="00636B52" w:rsidP="00717082">
          <w:pPr>
            <w:pStyle w:val="ListParagraph"/>
            <w:numPr>
              <w:ilvl w:val="0"/>
              <w:numId w:val="29"/>
            </w:numPr>
          </w:pPr>
          <w:r w:rsidRPr="00955707">
            <w:t>external support by government to temporarily house people experiencing homelessness in hotel accommodation.</w:t>
          </w:r>
        </w:p>
        <w:p w14:paraId="4009909B" w14:textId="77777777" w:rsidR="00636B52" w:rsidRDefault="00636B52" w:rsidP="00636B52">
          <w:r>
            <w:t>Additionally, social isolation increased by 12%, with just over half of all clients experiencing family violence also experiencing social isolation.</w:t>
          </w:r>
        </w:p>
        <w:p w14:paraId="49FD7096" w14:textId="77777777" w:rsidR="00636B52" w:rsidRDefault="00636B52" w:rsidP="00636B52">
          <w:r>
            <w:t>While there were only small increases in financial insecurity, mental health needs and AOD-related needs, these issues appeared to increase in severity. For example, where financial insecurity was recorded as a small increase, risk of homelessness substantially increased. While mental health needs were recorded as having a small increase, suicide and self-harm risk increased by 67% and 70% respectively. Finally, while AOD-related needs remained at a similar rate, the rate of substance abuse increased by 38%.</w:t>
          </w:r>
        </w:p>
        <w:p w14:paraId="1AD50203" w14:textId="77777777" w:rsidR="00636B52" w:rsidRDefault="00636B52" w:rsidP="00636B52">
          <w:r>
            <w:t>These differences overall may demonstrate an intensification of risk during COVID-19.</w:t>
          </w:r>
        </w:p>
        <w:p w14:paraId="3954E2FF" w14:textId="30B8E250" w:rsidR="004F0E22" w:rsidRDefault="0064791E" w:rsidP="00636B52">
          <w:r>
            <w:t xml:space="preserve">Between </w:t>
          </w:r>
          <w:r w:rsidR="002B434B">
            <w:t xml:space="preserve">the two time periods this case study examines, </w:t>
          </w:r>
          <w:r w:rsidR="00DE3B55">
            <w:t>Drummond Street Services</w:t>
          </w:r>
          <w:r w:rsidR="0048109B">
            <w:t xml:space="preserve"> record</w:t>
          </w:r>
          <w:r w:rsidR="000F79D4">
            <w:t>ed</w:t>
          </w:r>
          <w:r w:rsidR="0048109B">
            <w:t xml:space="preserve"> the following </w:t>
          </w:r>
          <w:r>
            <w:t xml:space="preserve">changes in </w:t>
          </w:r>
          <w:r w:rsidR="0048109B">
            <w:t xml:space="preserve">co-occurring needs for </w:t>
          </w:r>
          <w:r w:rsidR="002E6EFD">
            <w:t xml:space="preserve">clients experiencing </w:t>
          </w:r>
          <w:r w:rsidR="006251A0">
            <w:t xml:space="preserve">or using </w:t>
          </w:r>
          <w:r w:rsidR="002E6EFD">
            <w:t>family violence</w:t>
          </w:r>
          <w:r>
            <w:t>:</w:t>
          </w:r>
        </w:p>
        <w:p w14:paraId="281E59B3" w14:textId="06EADBBA" w:rsidR="00750ED3" w:rsidRDefault="0064791E" w:rsidP="00717082">
          <w:pPr>
            <w:pStyle w:val="ListParagraph"/>
            <w:numPr>
              <w:ilvl w:val="0"/>
              <w:numId w:val="99"/>
            </w:numPr>
          </w:pPr>
          <w:r>
            <w:t xml:space="preserve">risk of homelessness increased by 30.2%, from 16.9% (n=353) to 22% (n=444) </w:t>
          </w:r>
        </w:p>
        <w:p w14:paraId="2F63ED30" w14:textId="355A4DEA" w:rsidR="00750ED3" w:rsidRDefault="0064791E" w:rsidP="00717082">
          <w:pPr>
            <w:pStyle w:val="ListParagraph"/>
            <w:numPr>
              <w:ilvl w:val="0"/>
              <w:numId w:val="99"/>
            </w:numPr>
          </w:pPr>
          <w:r>
            <w:t>financial insecurity increased by 2.5%, from 44.1% (n=919) to 45.2% (n=914)</w:t>
          </w:r>
        </w:p>
        <w:p w14:paraId="3772C05B" w14:textId="3AC37898" w:rsidR="00750ED3" w:rsidRDefault="0064791E" w:rsidP="00717082">
          <w:pPr>
            <w:pStyle w:val="ListParagraph"/>
            <w:numPr>
              <w:ilvl w:val="0"/>
              <w:numId w:val="99"/>
            </w:numPr>
          </w:pPr>
          <w:r>
            <w:t xml:space="preserve">mental health needs increased by 2.4%, from 91.5% (n=1906) to 93.7% (n=1895) </w:t>
          </w:r>
        </w:p>
        <w:p w14:paraId="484A3CF9" w14:textId="167A2B61" w:rsidR="00750ED3" w:rsidRDefault="0064791E" w:rsidP="00717082">
          <w:pPr>
            <w:pStyle w:val="ListParagraph"/>
            <w:numPr>
              <w:ilvl w:val="0"/>
              <w:numId w:val="99"/>
            </w:numPr>
          </w:pPr>
          <w:r>
            <w:t>AOD-related needs slightly increased as a percentage, from 15.1% (n=314) to 15.2% (n=308)</w:t>
          </w:r>
        </w:p>
        <w:p w14:paraId="641B045D" w14:textId="54210322" w:rsidR="00750ED3" w:rsidRDefault="0064791E" w:rsidP="00717082">
          <w:pPr>
            <w:pStyle w:val="ListParagraph"/>
            <w:numPr>
              <w:ilvl w:val="0"/>
              <w:numId w:val="99"/>
            </w:numPr>
          </w:pPr>
          <w:r>
            <w:t>social isolation increased by 12.4%, from 45.2% (n=941) to 50.8% (n=1027).</w:t>
          </w:r>
        </w:p>
        <w:p w14:paraId="3B5AA891" w14:textId="6CCB34F2" w:rsidR="00636B52" w:rsidRDefault="00636B52" w:rsidP="00636B52">
          <w:pPr>
            <w:pStyle w:val="Heading3"/>
          </w:pPr>
          <w:r>
            <w:t xml:space="preserve">Risk </w:t>
          </w:r>
          <w:r w:rsidR="0007486F">
            <w:t>a</w:t>
          </w:r>
          <w:r>
            <w:t>lerts</w:t>
          </w:r>
        </w:p>
        <w:p w14:paraId="20019433" w14:textId="77777777" w:rsidR="00636B52" w:rsidRDefault="00636B52" w:rsidP="00636B52">
          <w:r>
            <w:t xml:space="preserve">The co-occurring needs above are determined from a variety of different points across </w:t>
          </w:r>
          <w:r w:rsidRPr="00630043">
            <w:t>Drummond Street</w:t>
          </w:r>
          <w:r>
            <w:t>’s CRM system, which contains ‘risk alerts’. Cases with a risk alert are identified as high priority. The alert triggers the need for comprehensive risk assessment and risk management processes.</w:t>
          </w:r>
        </w:p>
        <w:p w14:paraId="779F33FA" w14:textId="77777777" w:rsidR="00636B52" w:rsidRDefault="00636B52" w:rsidP="00636B52">
          <w:r>
            <w:t>One of the most prominent changes Drummond Street saw during COVID-19 was the increase in both suicide risk (by 67%) and self-harm risk (by 73%). Almost 100 additional people were at risk of suicide during COVID-19 compared to the period prior to COVID-19.</w:t>
          </w:r>
        </w:p>
        <w:p w14:paraId="3199FAA7" w14:textId="77777777" w:rsidR="00636B52" w:rsidRDefault="00636B52" w:rsidP="00636B52">
          <w:r>
            <w:t>Additionally, Drummond Street</w:t>
          </w:r>
          <w:r w:rsidDel="005466D4">
            <w:t xml:space="preserve"> </w:t>
          </w:r>
          <w:r>
            <w:t xml:space="preserve">saw reductions in Child Protection involvement and ‘at risk children’. This may indicate a lack of referrals for child issues and an obscuring of child issues with the rolling closures of schools, childcare centres and other services. These findings relating to children are troubling given the spike in other risk factors during this time. </w:t>
          </w:r>
        </w:p>
        <w:p w14:paraId="3077340E" w14:textId="74C12567" w:rsidR="00022FFC" w:rsidRDefault="005B2D47" w:rsidP="00022FFC">
          <w:r>
            <w:t xml:space="preserve">Between </w:t>
          </w:r>
          <w:r w:rsidR="00022FFC">
            <w:t xml:space="preserve">the two time periods this case study examines, Drummond Street Services recorded the following </w:t>
          </w:r>
          <w:r>
            <w:t xml:space="preserve">changes in </w:t>
          </w:r>
          <w:r w:rsidR="00F05A17">
            <w:t>additional risk alerts</w:t>
          </w:r>
          <w:r w:rsidR="00022FFC">
            <w:t xml:space="preserve"> for clients experiencing or using family violence</w:t>
          </w:r>
          <w:r>
            <w:t>:</w:t>
          </w:r>
        </w:p>
        <w:p w14:paraId="354188D9" w14:textId="1974C250" w:rsidR="000D7D20" w:rsidRDefault="005B2D47" w:rsidP="00717082">
          <w:pPr>
            <w:pStyle w:val="ListParagraph"/>
            <w:numPr>
              <w:ilvl w:val="0"/>
              <w:numId w:val="100"/>
            </w:numPr>
          </w:pPr>
          <w:r>
            <w:t>homelessness risk alerts increased by 5.0%, from 2% (n=42) to 2.1% (n=42)</w:t>
          </w:r>
        </w:p>
        <w:p w14:paraId="2E2BC553" w14:textId="14F998C1" w:rsidR="000D7D20" w:rsidRDefault="005B2D47" w:rsidP="00717082">
          <w:pPr>
            <w:pStyle w:val="ListParagraph"/>
            <w:numPr>
              <w:ilvl w:val="0"/>
              <w:numId w:val="100"/>
            </w:numPr>
          </w:pPr>
          <w:r>
            <w:t>suicide risk alerts increased by 67.2%, from 6.7% (n=139) to 11.2% (n=227)</w:t>
          </w:r>
        </w:p>
        <w:p w14:paraId="603DC87C" w14:textId="7F702629" w:rsidR="000D7D20" w:rsidRDefault="005B2D47" w:rsidP="00717082">
          <w:pPr>
            <w:pStyle w:val="ListParagraph"/>
            <w:numPr>
              <w:ilvl w:val="0"/>
              <w:numId w:val="100"/>
            </w:numPr>
          </w:pPr>
          <w:r>
            <w:t>self-harm risk alerts increased by 72.5%, from 4% (n=84) to 6.9% (n=140)</w:t>
          </w:r>
        </w:p>
        <w:p w14:paraId="24BA54BE" w14:textId="307933EC" w:rsidR="000D7D20" w:rsidRDefault="005B2D47" w:rsidP="00717082">
          <w:pPr>
            <w:pStyle w:val="ListParagraph"/>
            <w:numPr>
              <w:ilvl w:val="0"/>
              <w:numId w:val="100"/>
            </w:numPr>
          </w:pPr>
          <w:r>
            <w:t>Child Protection involvement risk alerts decreased by 20.2%, from 8.4% (n=174) to 6.7% (n=136)</w:t>
          </w:r>
          <w:r>
            <w:tab/>
          </w:r>
        </w:p>
        <w:p w14:paraId="04A4D950" w14:textId="7A127C9A" w:rsidR="000D7D20" w:rsidRDefault="005B2D47" w:rsidP="00717082">
          <w:pPr>
            <w:pStyle w:val="ListParagraph"/>
            <w:numPr>
              <w:ilvl w:val="0"/>
              <w:numId w:val="100"/>
            </w:numPr>
          </w:pPr>
          <w:r>
            <w:t>at risk children risk alerts decreased by 14.9%, from 7.4% (n=154) to 6.3% (n=127)</w:t>
          </w:r>
          <w:r>
            <w:tab/>
          </w:r>
        </w:p>
        <w:p w14:paraId="4331907A" w14:textId="5B24713C" w:rsidR="000D7D20" w:rsidRDefault="005B2D47" w:rsidP="00717082">
          <w:pPr>
            <w:pStyle w:val="ListParagraph"/>
            <w:numPr>
              <w:ilvl w:val="0"/>
              <w:numId w:val="100"/>
            </w:numPr>
          </w:pPr>
          <w:r>
            <w:t>at risk youth risk alerts increased by 38.5%, from 6.5% (n=134) to 9% (n=181)</w:t>
          </w:r>
        </w:p>
        <w:p w14:paraId="695A38CA" w14:textId="67231923" w:rsidR="00022FFC" w:rsidRDefault="005B2D47" w:rsidP="00717082">
          <w:pPr>
            <w:pStyle w:val="ListParagraph"/>
            <w:numPr>
              <w:ilvl w:val="0"/>
              <w:numId w:val="100"/>
            </w:numPr>
          </w:pPr>
          <w:r>
            <w:t>AOD abuse risk alerts increased by 37.5%, from 2.4% (n=51) to 3.3% (n=66).</w:t>
          </w:r>
        </w:p>
        <w:p w14:paraId="64D338EA" w14:textId="7ACE8E6F" w:rsidR="00636B52" w:rsidRDefault="00636B52" w:rsidP="00636B52">
          <w:pPr>
            <w:pStyle w:val="Heading3"/>
          </w:pPr>
          <w:r>
            <w:t xml:space="preserve">Primary </w:t>
          </w:r>
          <w:r w:rsidR="0007486F">
            <w:t>r</w:t>
          </w:r>
          <w:r>
            <w:t xml:space="preserve">easons for </w:t>
          </w:r>
          <w:r w:rsidR="0007486F">
            <w:t>s</w:t>
          </w:r>
          <w:r>
            <w:t xml:space="preserve">eeking </w:t>
          </w:r>
          <w:r w:rsidR="0007486F">
            <w:t>a</w:t>
          </w:r>
          <w:r>
            <w:t>ssistance</w:t>
          </w:r>
        </w:p>
        <w:p w14:paraId="163B5E80" w14:textId="77777777" w:rsidR="00636B52" w:rsidRDefault="00636B52" w:rsidP="00636B52">
          <w:r>
            <w:t xml:space="preserve">Intake workers identify each client’s primary reasons for seeking assistance. These one to two key reasons help practitioners understand a client’s journey and needs. </w:t>
          </w:r>
          <w:r w:rsidRPr="00630043">
            <w:t>Drummond Street</w:t>
          </w:r>
          <w:r>
            <w:t xml:space="preserve"> saw a substantial increase in clients seeking assistance for:</w:t>
          </w:r>
        </w:p>
        <w:p w14:paraId="7EA500C7" w14:textId="77777777" w:rsidR="00636B52" w:rsidRPr="0007486F" w:rsidRDefault="00636B52" w:rsidP="00717082">
          <w:pPr>
            <w:pStyle w:val="ListParagraph"/>
            <w:numPr>
              <w:ilvl w:val="0"/>
              <w:numId w:val="30"/>
            </w:numPr>
          </w:pPr>
          <w:r w:rsidRPr="0007486F">
            <w:t>material wellbeing</w:t>
          </w:r>
        </w:p>
        <w:p w14:paraId="1B1BDFE9" w14:textId="77777777" w:rsidR="00636B52" w:rsidRPr="0007486F" w:rsidRDefault="00636B52" w:rsidP="00717082">
          <w:pPr>
            <w:pStyle w:val="ListParagraph"/>
            <w:numPr>
              <w:ilvl w:val="0"/>
              <w:numId w:val="30"/>
            </w:numPr>
          </w:pPr>
          <w:r w:rsidRPr="0007486F">
            <w:t>money management</w:t>
          </w:r>
        </w:p>
        <w:p w14:paraId="1769ACD0" w14:textId="77777777" w:rsidR="00636B52" w:rsidRPr="0007486F" w:rsidRDefault="00636B52" w:rsidP="00717082">
          <w:pPr>
            <w:pStyle w:val="ListParagraph"/>
            <w:numPr>
              <w:ilvl w:val="0"/>
              <w:numId w:val="30"/>
            </w:numPr>
          </w:pPr>
          <w:r w:rsidRPr="0007486F">
            <w:t>community participation and networks</w:t>
          </w:r>
        </w:p>
        <w:p w14:paraId="4C175FC2" w14:textId="77777777" w:rsidR="00636B52" w:rsidRPr="0007486F" w:rsidRDefault="00636B52" w:rsidP="00717082">
          <w:pPr>
            <w:pStyle w:val="ListParagraph"/>
            <w:numPr>
              <w:ilvl w:val="0"/>
              <w:numId w:val="30"/>
            </w:numPr>
          </w:pPr>
          <w:r w:rsidRPr="0007486F">
            <w:t>personal and family safety.</w:t>
          </w:r>
        </w:p>
        <w:p w14:paraId="37C17828" w14:textId="77777777" w:rsidR="00636B52" w:rsidRDefault="00636B52" w:rsidP="00636B52">
          <w:r>
            <w:t xml:space="preserve">To a lesser extent, there were also increases in clients seeking assistance for family functioning and age-appropriate development. </w:t>
          </w:r>
        </w:p>
        <w:p w14:paraId="142B78D7" w14:textId="77777777" w:rsidR="00636B52" w:rsidRDefault="00636B52" w:rsidP="00636B52">
          <w:r>
            <w:t>While Drummond Street saw a reduction in most child issues, the increase in age-appropriate development as a primary reason for seeking assistance fits with what the organisation heard anecdotally from its intake team and practitioners. A number of families presented with a 'child of concern' as a primary reason for seeking assistance. However, during the intake session or initial sessions with the client, it became evident that many were experiencing family violence. Many of these clients felt that accessing a specialist family violence service would have been too high a risk for them and their families during lockdowns, whereas accessing a service to support the needs of their child was one way that they could safely engage with the service system.</w:t>
          </w:r>
        </w:p>
        <w:p w14:paraId="37E11C95" w14:textId="00C9CACB" w:rsidR="00EE16FA" w:rsidRDefault="003040ED" w:rsidP="00636B52">
          <w:r>
            <w:t xml:space="preserve">Between </w:t>
          </w:r>
          <w:r w:rsidR="00EE16FA">
            <w:t xml:space="preserve">the two time periods this case study examines, </w:t>
          </w:r>
          <w:r w:rsidR="0065031F">
            <w:t xml:space="preserve">Drummond Street recorded the following changes in </w:t>
          </w:r>
          <w:r w:rsidR="00060179">
            <w:t xml:space="preserve">the primary reasons </w:t>
          </w:r>
          <w:r w:rsidR="00F27654">
            <w:t>clients sought assistance</w:t>
          </w:r>
          <w:r w:rsidR="0065031F">
            <w:t>:</w:t>
          </w:r>
        </w:p>
        <w:p w14:paraId="0ADF5E39" w14:textId="4C3C9320" w:rsidR="00A11ABB" w:rsidRDefault="0065031F" w:rsidP="00717082">
          <w:pPr>
            <w:pStyle w:val="ListParagraph"/>
            <w:numPr>
              <w:ilvl w:val="0"/>
              <w:numId w:val="101"/>
            </w:numPr>
          </w:pPr>
          <w:r>
            <w:t>age-appropriate development increased by 32.0%, from 12.8% (n=266) to 16.9% (n=342)</w:t>
          </w:r>
        </w:p>
        <w:p w14:paraId="362E5E7D" w14:textId="1812AAB9" w:rsidR="00A11ABB" w:rsidRDefault="0065031F" w:rsidP="00717082">
          <w:pPr>
            <w:pStyle w:val="ListParagraph"/>
            <w:numPr>
              <w:ilvl w:val="0"/>
              <w:numId w:val="101"/>
            </w:numPr>
          </w:pPr>
          <w:r>
            <w:t>community participation and networks increased by 215.8%, from 1.9% (n=39) to 6% (n=122)</w:t>
          </w:r>
        </w:p>
        <w:p w14:paraId="2BEBBA94" w14:textId="1918C944" w:rsidR="00A11ABB" w:rsidRDefault="0065031F" w:rsidP="00717082">
          <w:pPr>
            <w:pStyle w:val="ListParagraph"/>
            <w:numPr>
              <w:ilvl w:val="0"/>
              <w:numId w:val="101"/>
            </w:numPr>
          </w:pPr>
          <w:r>
            <w:t>education and training stayed the same, at 0.6% (n=13) prior to COVID-19 and 0.6% (n=12) during COVID-19</w:t>
          </w:r>
        </w:p>
        <w:p w14:paraId="0D617917" w14:textId="48CB2399" w:rsidR="00A11ABB" w:rsidRDefault="0065031F" w:rsidP="00717082">
          <w:pPr>
            <w:pStyle w:val="ListParagraph"/>
            <w:numPr>
              <w:ilvl w:val="0"/>
              <w:numId w:val="101"/>
            </w:numPr>
          </w:pPr>
          <w:r>
            <w:t>family functioning increased by 29.8%, from 52.3% (n=1089) to 67.9% (n=1372)</w:t>
          </w:r>
        </w:p>
        <w:p w14:paraId="6F6F191B" w14:textId="43CB480E" w:rsidR="00A11ABB" w:rsidRDefault="0065031F" w:rsidP="00717082">
          <w:pPr>
            <w:pStyle w:val="ListParagraph"/>
            <w:numPr>
              <w:ilvl w:val="0"/>
              <w:numId w:val="101"/>
            </w:numPr>
          </w:pPr>
          <w:r>
            <w:t>housing increased by 125.0%, from 1.2% (n=26) to 2.7% (n=54)</w:t>
          </w:r>
        </w:p>
        <w:p w14:paraId="14231207" w14:textId="75C71CD2" w:rsidR="00A11ABB" w:rsidRDefault="0065031F" w:rsidP="00717082">
          <w:pPr>
            <w:pStyle w:val="ListParagraph"/>
            <w:numPr>
              <w:ilvl w:val="0"/>
              <w:numId w:val="101"/>
            </w:numPr>
          </w:pPr>
          <w:r>
            <w:t>material wellbeing increased by 190.9%, from 1.1% (n=22) to 3.2% (n=69)</w:t>
          </w:r>
        </w:p>
        <w:p w14:paraId="20775BB4" w14:textId="1426877A" w:rsidR="00A11ABB" w:rsidRDefault="0065031F" w:rsidP="00717082">
          <w:pPr>
            <w:pStyle w:val="ListParagraph"/>
            <w:numPr>
              <w:ilvl w:val="0"/>
              <w:numId w:val="101"/>
            </w:numPr>
          </w:pPr>
          <w:r>
            <w:t>mental health increased by 6.2%, from 49.7% (n=847) to 52.8% (n=1068)</w:t>
          </w:r>
        </w:p>
        <w:p w14:paraId="1E05D4F8" w14:textId="55F5F889" w:rsidR="00A11ABB" w:rsidRDefault="0065031F" w:rsidP="00717082">
          <w:pPr>
            <w:pStyle w:val="ListParagraph"/>
            <w:numPr>
              <w:ilvl w:val="0"/>
              <w:numId w:val="101"/>
            </w:numPr>
          </w:pPr>
          <w:r>
            <w:t>money management increased by 215.8%, from 1.9% (n=39) to 6% (n=122)</w:t>
          </w:r>
        </w:p>
        <w:p w14:paraId="6555E71C" w14:textId="13D62B5C" w:rsidR="00636B52" w:rsidRDefault="0065031F" w:rsidP="00717082">
          <w:pPr>
            <w:pStyle w:val="ListParagraph"/>
            <w:numPr>
              <w:ilvl w:val="0"/>
              <w:numId w:val="101"/>
            </w:numPr>
          </w:pPr>
          <w:r>
            <w:t>personal and family safety increased by 147.1%, from 8.5% (n=178) to 21% (n=424)</w:t>
          </w:r>
          <w:r w:rsidR="00C66301">
            <w:t>.</w:t>
          </w:r>
        </w:p>
        <w:p w14:paraId="2B8FFF41" w14:textId="77777777" w:rsidR="00636B52" w:rsidRDefault="00636B52" w:rsidP="00636B52">
          <w:pPr>
            <w:spacing w:line="259" w:lineRule="auto"/>
          </w:pPr>
          <w:r>
            <w:br w:type="page"/>
          </w:r>
        </w:p>
        <w:p w14:paraId="3A263CF2" w14:textId="08C197FB" w:rsidR="00C51856" w:rsidRDefault="00C51856" w:rsidP="00C51856">
          <w:pPr>
            <w:pStyle w:val="Heading2"/>
          </w:pPr>
          <w:bookmarkStart w:id="22" w:name="_Toc95734883"/>
          <w:bookmarkStart w:id="23" w:name="_Toc98760933"/>
          <w:r>
            <w:t>Organisational response</w:t>
          </w:r>
          <w:bookmarkEnd w:id="22"/>
          <w:bookmarkEnd w:id="23"/>
        </w:p>
        <w:p w14:paraId="67FCE614" w14:textId="77777777" w:rsidR="00C51856" w:rsidRDefault="00C51856" w:rsidP="00C51856">
          <w:r w:rsidRPr="009C7023">
            <w:rPr>
              <w:rFonts w:asciiTheme="majorHAnsi" w:hAnsiTheme="majorHAnsi"/>
            </w:rPr>
            <w:t xml:space="preserve">There has been an increase in the prevalence and severity of family violence across all of </w:t>
          </w:r>
          <w:r w:rsidRPr="00630043">
            <w:rPr>
              <w:rFonts w:asciiTheme="majorHAnsi" w:hAnsiTheme="majorHAnsi"/>
            </w:rPr>
            <w:t>Drummond Street</w:t>
          </w:r>
          <w:r w:rsidRPr="009C7023">
            <w:rPr>
              <w:rFonts w:asciiTheme="majorHAnsi" w:hAnsiTheme="majorHAnsi"/>
            </w:rPr>
            <w:t>’s programs and services.</w:t>
          </w:r>
          <w:r>
            <w:t xml:space="preserve"> Practitioners across all teams spoke about the increase in family violence risk.</w:t>
          </w:r>
        </w:p>
        <w:p w14:paraId="6C13891F" w14:textId="402A6365" w:rsidR="00C51856" w:rsidRPr="00B62B12" w:rsidRDefault="00C51856" w:rsidP="003D75FF">
          <w:pPr>
            <w:rPr>
              <w:rStyle w:val="QuoteChar"/>
            </w:rPr>
          </w:pPr>
          <w:r>
            <w:t>Practitioners have shared examples of COVID-19 being used as a controlling mechanism in some family violence cases, with many people using it to further isolate victim-survivors from their support networks. Other practitioners have spoken about the problems that emerged for families where restrictions meant that abusive partners or parents, who would under normal circumstances be at work, were spending much more time in the home. Many practitioners described the pressure cooker-type situation this creates when families have no</w:t>
          </w:r>
          <w:r w:rsidR="003D75FF">
            <w:t xml:space="preserve"> </w:t>
          </w:r>
          <w:r w:rsidRPr="003D75FF">
            <w:t>“time away from [the] person enacting harm”.</w:t>
          </w:r>
        </w:p>
        <w:p w14:paraId="44804DC4" w14:textId="77777777" w:rsidR="00C51856" w:rsidRDefault="00C51856" w:rsidP="00C51856">
          <w:r w:rsidRPr="00630043">
            <w:t>Drummond Street</w:t>
          </w:r>
          <w:r>
            <w:t xml:space="preserve"> practitioners have seen increased barriers and difficulties for people leaving family violence situations, trying to access safety, or trying to seek out supports. While leaving your home for family violence-related reasons was permitted during lockdowns, there was widespread confusion about how this worked, even within the specialist family violence sector.</w:t>
          </w:r>
        </w:p>
        <w:p w14:paraId="09343A70" w14:textId="77777777" w:rsidR="00C51856" w:rsidRDefault="00C51856" w:rsidP="00C51856">
          <w:r>
            <w:t xml:space="preserve">Some clients received conflicting advice from specialist family violence services during COVID-19 lockdowns. Some were told that they needed to carry an intervention order with them if they were outside during curfew hours or outside the 5km radius from their home. Others were told they just need to tell police why they are out. For many, these obstacles meant that they stayed in unsafe environments longer than they might otherwise have done. </w:t>
          </w:r>
        </w:p>
        <w:p w14:paraId="33B2932F" w14:textId="08053748" w:rsidR="00C51856" w:rsidRDefault="00C51856" w:rsidP="00C51856">
          <w:pPr>
            <w:pStyle w:val="Heading3"/>
          </w:pPr>
          <w:r>
            <w:t xml:space="preserve">How </w:t>
          </w:r>
          <w:r w:rsidR="00EB6DB5">
            <w:t>h</w:t>
          </w:r>
          <w:r>
            <w:t xml:space="preserve">as Drummond Street </w:t>
          </w:r>
          <w:r w:rsidR="00EB6DB5">
            <w:t>r</w:t>
          </w:r>
          <w:r>
            <w:t xml:space="preserve">esponded to COVID-19?  </w:t>
          </w:r>
        </w:p>
        <w:p w14:paraId="64C54A43" w14:textId="77777777" w:rsidR="00C51856" w:rsidRDefault="00C51856" w:rsidP="00C51856">
          <w:r>
            <w:t>For many practitioners, managing the increased number and complexity of family violence cases has been challenging, with barriers relating to:</w:t>
          </w:r>
        </w:p>
        <w:p w14:paraId="7FBEE485" w14:textId="5CA123E4" w:rsidR="00C51856" w:rsidRDefault="00C51856" w:rsidP="00C51856">
          <w:pPr>
            <w:pStyle w:val="Quote"/>
          </w:pPr>
          <w:r>
            <w:t>“Staff capacity, larger caseloads of family violence risk alerts, limited capacity to identify locations for safety plans”</w:t>
          </w:r>
        </w:p>
        <w:p w14:paraId="32E5E11C" w14:textId="5AC1A4D1" w:rsidR="009F0242" w:rsidRPr="00C42D45" w:rsidRDefault="00C51856" w:rsidP="009F0242">
          <w:r>
            <w:t>Given this stress of both increased family violence cases and increased complexity of risk and need, the organisation had to think strategically about how to leverage off its existing internal knowledge and expertise in order to provide a nuanced and responsive service to clients.</w:t>
          </w:r>
        </w:p>
        <w:p w14:paraId="4FD41693" w14:textId="77777777" w:rsidR="00F64963" w:rsidRDefault="00225158" w:rsidP="00072AEF"/>
      </w:sdtContent>
    </w:sdt>
    <w:p w14:paraId="62031C92" w14:textId="5880F7D3" w:rsidR="002D263F" w:rsidRDefault="002D263F" w:rsidP="002D263F">
      <w:pPr>
        <w:pStyle w:val="Heading4"/>
      </w:pPr>
      <w:r>
        <w:t xml:space="preserve">Priority </w:t>
      </w:r>
      <w:r w:rsidR="00424FCD">
        <w:t>R</w:t>
      </w:r>
      <w:r>
        <w:t xml:space="preserve">esponse </w:t>
      </w:r>
      <w:r w:rsidR="00424FCD">
        <w:t>C</w:t>
      </w:r>
      <w:r>
        <w:t xml:space="preserve">onsult </w:t>
      </w:r>
      <w:r w:rsidR="00424FCD">
        <w:t>G</w:t>
      </w:r>
      <w:r>
        <w:t xml:space="preserve">roups </w:t>
      </w:r>
    </w:p>
    <w:p w14:paraId="2C6BFA49" w14:textId="77777777" w:rsidR="002D263F" w:rsidRDefault="002D263F" w:rsidP="002D263F">
      <w:r>
        <w:t xml:space="preserve">One of the key ways </w:t>
      </w:r>
      <w:r w:rsidRPr="00630043">
        <w:t>Drummond Street</w:t>
      </w:r>
      <w:r>
        <w:t xml:space="preserve"> responded was through the establishment of Priority Response Consult Groups. The</w:t>
      </w:r>
      <w:r w:rsidRPr="009922BF">
        <w:t xml:space="preserve"> </w:t>
      </w:r>
      <w:r>
        <w:t>Priority Response Consult Groups formed an additional point of consultation and advice, enabling practitioners, intake staff and reception staff to quickly access consultations from staff with specialist knowledge in:</w:t>
      </w:r>
    </w:p>
    <w:p w14:paraId="456D95EA" w14:textId="77777777" w:rsidR="002D263F" w:rsidRPr="0007211E" w:rsidRDefault="002D263F" w:rsidP="00717082">
      <w:pPr>
        <w:pStyle w:val="ListParagraph"/>
        <w:numPr>
          <w:ilvl w:val="0"/>
          <w:numId w:val="31"/>
        </w:numPr>
      </w:pPr>
      <w:r w:rsidRPr="0007211E">
        <w:t>family violence</w:t>
      </w:r>
    </w:p>
    <w:p w14:paraId="181D1238" w14:textId="77777777" w:rsidR="002D263F" w:rsidRPr="0007211E" w:rsidRDefault="002D263F" w:rsidP="00717082">
      <w:pPr>
        <w:pStyle w:val="ListParagraph"/>
        <w:numPr>
          <w:ilvl w:val="0"/>
          <w:numId w:val="31"/>
        </w:numPr>
      </w:pPr>
      <w:r w:rsidRPr="0007211E">
        <w:t>acute mental health</w:t>
      </w:r>
    </w:p>
    <w:p w14:paraId="2E50AA83" w14:textId="77777777" w:rsidR="002D263F" w:rsidRPr="0007211E" w:rsidRDefault="002D263F" w:rsidP="00717082">
      <w:pPr>
        <w:pStyle w:val="ListParagraph"/>
        <w:numPr>
          <w:ilvl w:val="0"/>
          <w:numId w:val="31"/>
        </w:numPr>
      </w:pPr>
      <w:r w:rsidRPr="0007211E">
        <w:t>child and youth issues</w:t>
      </w:r>
    </w:p>
    <w:p w14:paraId="67AA37F5" w14:textId="77777777" w:rsidR="002D263F" w:rsidRPr="0007211E" w:rsidRDefault="002D263F" w:rsidP="00717082">
      <w:pPr>
        <w:pStyle w:val="ListParagraph"/>
        <w:numPr>
          <w:ilvl w:val="0"/>
          <w:numId w:val="31"/>
        </w:numPr>
      </w:pPr>
      <w:r w:rsidRPr="0007211E">
        <w:t>housing and homelessness</w:t>
      </w:r>
    </w:p>
    <w:p w14:paraId="0831A014" w14:textId="77777777" w:rsidR="002D263F" w:rsidRPr="0007211E" w:rsidRDefault="002D263F" w:rsidP="00717082">
      <w:pPr>
        <w:pStyle w:val="ListParagraph"/>
        <w:numPr>
          <w:ilvl w:val="0"/>
          <w:numId w:val="31"/>
        </w:numPr>
      </w:pPr>
      <w:r w:rsidRPr="0007211E">
        <w:t>case management</w:t>
      </w:r>
    </w:p>
    <w:p w14:paraId="72D6CC38" w14:textId="77777777" w:rsidR="002D263F" w:rsidRPr="0007211E" w:rsidRDefault="002D263F" w:rsidP="00717082">
      <w:pPr>
        <w:pStyle w:val="ListParagraph"/>
        <w:numPr>
          <w:ilvl w:val="0"/>
          <w:numId w:val="31"/>
        </w:numPr>
      </w:pPr>
      <w:r w:rsidRPr="0007211E">
        <w:t>advocacy.</w:t>
      </w:r>
    </w:p>
    <w:p w14:paraId="35657FF3" w14:textId="77777777" w:rsidR="002D263F" w:rsidRDefault="002D263F" w:rsidP="002D263F">
      <w:r>
        <w:t xml:space="preserve">The Family Violence Priority Response Consult Group was by far the most consulted group. Its four staff members conducted around 100 consultations with staff from across </w:t>
      </w:r>
      <w:r w:rsidRPr="00630043">
        <w:t>Drummond Street</w:t>
      </w:r>
      <w:r>
        <w:t>. They provided both one-off consultations, as well as ongoing case support to enable effective risk management approaches and appropriate support for clients experiencing family violence.</w:t>
      </w:r>
    </w:p>
    <w:p w14:paraId="5FD10C14" w14:textId="7CA853E1" w:rsidR="00147243" w:rsidRDefault="002D263F" w:rsidP="002D263F">
      <w:pPr>
        <w:pStyle w:val="Quote"/>
      </w:pPr>
      <w:r>
        <w:t xml:space="preserve">“Our team has had numerous consultations with the </w:t>
      </w:r>
      <w:r w:rsidR="008E19E6">
        <w:t xml:space="preserve">[family violence] </w:t>
      </w:r>
      <w:r>
        <w:t xml:space="preserve">team about difficult </w:t>
      </w:r>
      <w:r w:rsidR="008E19E6">
        <w:t xml:space="preserve">[family violence] </w:t>
      </w:r>
      <w:r>
        <w:t>cases</w:t>
      </w:r>
      <w:r w:rsidR="008E19E6">
        <w:t xml:space="preserve"> – </w:t>
      </w:r>
      <w:r>
        <w:t>this</w:t>
      </w:r>
      <w:r w:rsidR="008E19E6">
        <w:t xml:space="preserve"> </w:t>
      </w:r>
      <w:r>
        <w:t>was not happening prior to COVID”</w:t>
      </w:r>
    </w:p>
    <w:p w14:paraId="11EA4DA5" w14:textId="5B3901BB" w:rsidR="002D263F" w:rsidRDefault="006B6AB1" w:rsidP="006B6AB1">
      <w:pPr>
        <w:pStyle w:val="QuoteAttribution"/>
      </w:pPr>
      <w:r>
        <w:t>F</w:t>
      </w:r>
      <w:r w:rsidR="002D263F">
        <w:t>amily services practitioner</w:t>
      </w:r>
    </w:p>
    <w:p w14:paraId="64B1678A" w14:textId="77777777" w:rsidR="002D263F" w:rsidRDefault="002D263F" w:rsidP="002D263F">
      <w:r>
        <w:t>Staff from across the organisation accessed this support so that they could better support their clients and manage complex risk issues as they emerged. According to staff feedback, the Family Violence Priority Response Consult Group created an environment for staff learning and collaboration. Different perspectives and areas of knowledge and expertise were bolstered and drawn upon in order to provide meaningful responses to clients.</w:t>
      </w:r>
    </w:p>
    <w:p w14:paraId="04DE069B" w14:textId="45A52994" w:rsidR="002D263F" w:rsidRDefault="002D263F" w:rsidP="002D263F">
      <w:pPr>
        <w:pStyle w:val="Heading4"/>
      </w:pPr>
      <w:r>
        <w:t>Integrated</w:t>
      </w:r>
      <w:r w:rsidR="00717AE7">
        <w:t xml:space="preserve"> p</w:t>
      </w:r>
      <w:r>
        <w:t xml:space="preserve">rogram </w:t>
      </w:r>
      <w:r w:rsidR="00717AE7">
        <w:t>r</w:t>
      </w:r>
      <w:r>
        <w:t>esponses</w:t>
      </w:r>
    </w:p>
    <w:p w14:paraId="54B02A3F" w14:textId="77777777" w:rsidR="002D263F" w:rsidRDefault="002D263F" w:rsidP="002D263F">
      <w:r w:rsidRPr="00630043">
        <w:t>Drummond Street</w:t>
      </w:r>
      <w:r>
        <w:t xml:space="preserve"> relied on its model for integrated program responses to manage complex family violence risk and need during COVID-19. The organisation’s model for integrated practice allows one practitioner to work with the person or people experiencing violence while another practitioner works with the person enacting harm. All work is then overseen and managed by a practice lead who supports this work. Other practitioners may also be brought in to support the case in other areas, such as parenting and child wellbeing. </w:t>
      </w:r>
    </w:p>
    <w:p w14:paraId="055186BC" w14:textId="77777777" w:rsidR="002D263F" w:rsidRDefault="002D263F" w:rsidP="002D263F">
      <w:r>
        <w:t>The integrated program response case coordination and management meetings have been fundamental to how Drummond Street has managed complex risk during COVID-19. Supervisors and managers have supported teams through providing practice lead knowledge and expertise. This has helped practitioners manage risk and safety issues within the complex environment of COVID-19 and lockdowns.</w:t>
      </w:r>
    </w:p>
    <w:p w14:paraId="23AA9797" w14:textId="77777777" w:rsidR="002D263F" w:rsidRDefault="002D263F" w:rsidP="002D263F">
      <w:pPr>
        <w:pStyle w:val="Heading4"/>
      </w:pPr>
      <w:r>
        <w:t>Telehealth</w:t>
      </w:r>
    </w:p>
    <w:p w14:paraId="628645A8" w14:textId="77777777" w:rsidR="002D263F" w:rsidRDefault="002D263F" w:rsidP="002D263F">
      <w:r>
        <w:t xml:space="preserve">Telehealth and the provision of telehealth services has been a key aspect of COVID-19 service delivery. While </w:t>
      </w:r>
      <w:r w:rsidRPr="00630043">
        <w:t>Drummond Street</w:t>
      </w:r>
      <w:r>
        <w:t xml:space="preserve"> staff made the incredible transition to working completely online, finding ways of responding to the changing needs of clients and new ways of working, the move to online and telehealth service delivery has not been smooth for all clients. While telehealth was the main source of service delivery for many of Drummond Street’s family violence cases, it has needed to be accompanied by outreach sessions and welfare checks in order to manage risk and complexity. </w:t>
      </w:r>
    </w:p>
    <w:p w14:paraId="542B3B03" w14:textId="77777777" w:rsidR="002D263F" w:rsidRDefault="002D263F" w:rsidP="002D263F">
      <w:r>
        <w:t>Practitioners spoke about a lack of privacy due to the presence of other family members negatively impacting clients’ help-seeking, their ability to express their needs, and in some cases their safety. Practitioners gave examples where:</w:t>
      </w:r>
    </w:p>
    <w:p w14:paraId="1983BB08" w14:textId="77777777" w:rsidR="002D263F" w:rsidRPr="00717AE7" w:rsidRDefault="002D263F" w:rsidP="00717082">
      <w:pPr>
        <w:pStyle w:val="ListParagraph"/>
        <w:numPr>
          <w:ilvl w:val="0"/>
          <w:numId w:val="32"/>
        </w:numPr>
      </w:pPr>
      <w:r w:rsidRPr="00717AE7">
        <w:t>parents or carers have listened in on sessions with young people</w:t>
      </w:r>
    </w:p>
    <w:p w14:paraId="6DAAECAF" w14:textId="77777777" w:rsidR="002D263F" w:rsidRPr="00717AE7" w:rsidRDefault="002D263F" w:rsidP="00717082">
      <w:pPr>
        <w:pStyle w:val="ListParagraph"/>
        <w:numPr>
          <w:ilvl w:val="0"/>
          <w:numId w:val="32"/>
        </w:numPr>
      </w:pPr>
      <w:r w:rsidRPr="00717AE7">
        <w:t>sessions have been intentionally interrupted</w:t>
      </w:r>
    </w:p>
    <w:p w14:paraId="5146DA0D" w14:textId="77777777" w:rsidR="002D263F" w:rsidRPr="00717AE7" w:rsidRDefault="002D263F" w:rsidP="00717082">
      <w:pPr>
        <w:pStyle w:val="ListParagraph"/>
        <w:numPr>
          <w:ilvl w:val="0"/>
          <w:numId w:val="32"/>
        </w:numPr>
      </w:pPr>
      <w:r w:rsidRPr="00717AE7">
        <w:t>people have not had adequate access to a private space for sessions to be delivered confidentially.</w:t>
      </w:r>
    </w:p>
    <w:p w14:paraId="262814E4" w14:textId="77777777" w:rsidR="002D263F" w:rsidRDefault="002D263F" w:rsidP="002D263F">
      <w:r>
        <w:t xml:space="preserve">Some people experiencing family violence were simply unable to engage with online or telehealth services during COVID-19 lockdowns, heightening welfare concerns amongst practitioners. </w:t>
      </w:r>
    </w:p>
    <w:p w14:paraId="6AB64571" w14:textId="77777777" w:rsidR="002D263F" w:rsidRDefault="002D263F" w:rsidP="002D263F">
      <w:r>
        <w:t xml:space="preserve">Some practitioners found it particularly difficult to maintain a ‘line of sight’ to children using telehealth and to adequately assess their level of risk in an ongoing way. This was particularly problematic in cases where Child Protection had reduced home visits and normal service delivery during COVID-19. </w:t>
      </w:r>
    </w:p>
    <w:p w14:paraId="6D92FF5A" w14:textId="2EEAAC2F" w:rsidR="002D263F" w:rsidRDefault="002D263F" w:rsidP="002D263F">
      <w:pPr>
        <w:pStyle w:val="Quote"/>
      </w:pPr>
      <w:r>
        <w:t>“It's been very challenging to know if people are in a safe space to have an online session and some clients have not been able to have contact with us”</w:t>
      </w:r>
    </w:p>
    <w:p w14:paraId="64B2B3E3" w14:textId="77777777" w:rsidR="00972F03" w:rsidRPr="00972F03" w:rsidRDefault="00972F03" w:rsidP="00972F03"/>
    <w:p w14:paraId="3B5B10D6" w14:textId="77777777" w:rsidR="002D263F" w:rsidRDefault="002D263F" w:rsidP="002D263F">
      <w:pPr>
        <w:pStyle w:val="Quote"/>
      </w:pPr>
      <w:r>
        <w:t>“… due to no home visits, [it has been] hard to assess risk, especially child safety”</w:t>
      </w:r>
    </w:p>
    <w:p w14:paraId="39484E13" w14:textId="77777777" w:rsidR="00972F03" w:rsidRPr="00972F03" w:rsidRDefault="00972F03" w:rsidP="00972F03"/>
    <w:p w14:paraId="2FA1C65F" w14:textId="6AF3D709" w:rsidR="002D263F" w:rsidRDefault="002D263F" w:rsidP="002D263F">
      <w:pPr>
        <w:pStyle w:val="Quote"/>
      </w:pPr>
      <w:r>
        <w:t>“We've lost oversight of some children's safety, with schools and childcare being limited as well as other services not providing face</w:t>
      </w:r>
      <w:r w:rsidR="003610B6">
        <w:t>-</w:t>
      </w:r>
      <w:r>
        <w:t>to</w:t>
      </w:r>
      <w:r w:rsidR="003610B6">
        <w:t>-</w:t>
      </w:r>
      <w:r>
        <w:t>face service either”</w:t>
      </w:r>
    </w:p>
    <w:p w14:paraId="6C44022D" w14:textId="77777777" w:rsidR="002D263F" w:rsidRDefault="002D263F" w:rsidP="002D263F">
      <w:r>
        <w:t>In addition, safety concerns of participants meant that some programs and services, including group programs for people using violence, could not be adapted for online service delivery.</w:t>
      </w:r>
    </w:p>
    <w:p w14:paraId="0814661F" w14:textId="6F873139" w:rsidR="002D263F" w:rsidRDefault="002D263F" w:rsidP="002D263F">
      <w:pPr>
        <w:pStyle w:val="Quote"/>
      </w:pPr>
      <w:r>
        <w:t>“We are providing all our services online, via phone or Zoom. Group programs have stopped, as they are unsafe to facilitate, but we have continued to adapt the program curriculum into one</w:t>
      </w:r>
      <w:r w:rsidR="00152B19">
        <w:t>-</w:t>
      </w:r>
      <w:r>
        <w:t>on</w:t>
      </w:r>
      <w:r w:rsidR="00152B19">
        <w:t>-</w:t>
      </w:r>
      <w:r>
        <w:t>one sessions</w:t>
      </w:r>
      <w:r w:rsidR="003610B6">
        <w:t>.</w:t>
      </w:r>
      <w:r>
        <w:t>”</w:t>
      </w:r>
    </w:p>
    <w:p w14:paraId="119E6AC9" w14:textId="643B014D" w:rsidR="002D263F" w:rsidRDefault="002D263F" w:rsidP="002D263F">
      <w:pPr>
        <w:pStyle w:val="Heading4"/>
      </w:pPr>
      <w:r>
        <w:t xml:space="preserve">Brokerage and </w:t>
      </w:r>
      <w:r w:rsidR="00717AE7">
        <w:t>r</w:t>
      </w:r>
      <w:r>
        <w:t xml:space="preserve">esponding to </w:t>
      </w:r>
      <w:r w:rsidR="00717AE7">
        <w:t>m</w:t>
      </w:r>
      <w:r>
        <w:t xml:space="preserve">aterial </w:t>
      </w:r>
      <w:r w:rsidR="00717AE7">
        <w:t>n</w:t>
      </w:r>
      <w:r>
        <w:t>eed</w:t>
      </w:r>
    </w:p>
    <w:p w14:paraId="05736B5A" w14:textId="77777777" w:rsidR="002D263F" w:rsidRDefault="002D263F" w:rsidP="002D263F">
      <w:r>
        <w:t xml:space="preserve">One of the major changes to Drummond Street’s service provision has been in the development of the Food Outreach Operation at Drummond Street (FOODS) program. The aim of the FOODS program has been to assist vulnerable and disadvantaged clients and members of their households to have access to food and essential care items. Feedback from clients has highlighted that the program made a huge difference to their lives, by supporting basic needs and ensuring that people have been able to maintain connection with the service. </w:t>
      </w:r>
    </w:p>
    <w:p w14:paraId="37EA165D" w14:textId="77777777" w:rsidR="002D263F" w:rsidRDefault="002D263F" w:rsidP="002D263F">
      <w:r>
        <w:t>Drummond Street also supported clients with a wide range of broader brokerage needs, including:</w:t>
      </w:r>
    </w:p>
    <w:p w14:paraId="2A68D03E" w14:textId="77777777" w:rsidR="002D263F" w:rsidRPr="00717AE7" w:rsidRDefault="002D263F" w:rsidP="00717082">
      <w:pPr>
        <w:pStyle w:val="ListParagraph"/>
        <w:numPr>
          <w:ilvl w:val="0"/>
          <w:numId w:val="33"/>
        </w:numPr>
      </w:pPr>
      <w:r w:rsidRPr="00717AE7">
        <w:t>paying for rent, house deposits or hotel accommodation</w:t>
      </w:r>
    </w:p>
    <w:p w14:paraId="1209A7ED" w14:textId="77777777" w:rsidR="002D263F" w:rsidRPr="00717AE7" w:rsidRDefault="002D263F" w:rsidP="00717082">
      <w:pPr>
        <w:pStyle w:val="ListParagraph"/>
        <w:numPr>
          <w:ilvl w:val="0"/>
          <w:numId w:val="33"/>
        </w:numPr>
      </w:pPr>
      <w:r w:rsidRPr="00717AE7">
        <w:t>providing food vouchers</w:t>
      </w:r>
    </w:p>
    <w:p w14:paraId="177BFAEE" w14:textId="77777777" w:rsidR="002D263F" w:rsidRPr="00717AE7" w:rsidRDefault="002D263F" w:rsidP="00717082">
      <w:pPr>
        <w:pStyle w:val="ListParagraph"/>
        <w:numPr>
          <w:ilvl w:val="0"/>
          <w:numId w:val="33"/>
        </w:numPr>
      </w:pPr>
      <w:r w:rsidRPr="00717AE7">
        <w:t>paying removalists or for storage</w:t>
      </w:r>
    </w:p>
    <w:p w14:paraId="0A56290C" w14:textId="77777777" w:rsidR="002D263F" w:rsidRPr="00717AE7" w:rsidRDefault="002D263F" w:rsidP="00717082">
      <w:pPr>
        <w:pStyle w:val="ListParagraph"/>
        <w:numPr>
          <w:ilvl w:val="0"/>
          <w:numId w:val="33"/>
        </w:numPr>
      </w:pPr>
      <w:r w:rsidRPr="00717AE7">
        <w:t xml:space="preserve">paying medical bills and </w:t>
      </w:r>
    </w:p>
    <w:p w14:paraId="267167C2" w14:textId="77777777" w:rsidR="002D263F" w:rsidRPr="00717AE7" w:rsidRDefault="002D263F" w:rsidP="00717082">
      <w:pPr>
        <w:pStyle w:val="ListParagraph"/>
        <w:numPr>
          <w:ilvl w:val="0"/>
          <w:numId w:val="33"/>
        </w:numPr>
      </w:pPr>
      <w:r w:rsidRPr="00717AE7">
        <w:t>providing access to technology to keep people safe and connected to the service.</w:t>
      </w:r>
    </w:p>
    <w:p w14:paraId="67A6525E" w14:textId="77777777" w:rsidR="002D263F" w:rsidRDefault="002D263F" w:rsidP="002D263F">
      <w:r>
        <w:t>The ability of the organisation to provide such a huge amount of brokerage was facilitated by:</w:t>
      </w:r>
    </w:p>
    <w:p w14:paraId="72B2D8A1" w14:textId="77777777" w:rsidR="002D263F" w:rsidRPr="00717AE7" w:rsidRDefault="002D263F" w:rsidP="00717082">
      <w:pPr>
        <w:pStyle w:val="ListParagraph"/>
        <w:numPr>
          <w:ilvl w:val="0"/>
          <w:numId w:val="34"/>
        </w:numPr>
      </w:pPr>
      <w:r w:rsidRPr="00717AE7">
        <w:t>additional funds for emergency accommodation during COVID-19</w:t>
      </w:r>
    </w:p>
    <w:p w14:paraId="522D9BB0" w14:textId="77777777" w:rsidR="002D263F" w:rsidRPr="00717AE7" w:rsidRDefault="002D263F" w:rsidP="00717082">
      <w:pPr>
        <w:pStyle w:val="ListParagraph"/>
        <w:numPr>
          <w:ilvl w:val="0"/>
          <w:numId w:val="34"/>
        </w:numPr>
      </w:pPr>
      <w:r w:rsidRPr="00717AE7">
        <w:t>additional brokerage funding through family violence funded programs</w:t>
      </w:r>
    </w:p>
    <w:p w14:paraId="3ABA8AE0" w14:textId="77777777" w:rsidR="002D263F" w:rsidRPr="00717AE7" w:rsidRDefault="002D263F" w:rsidP="00717082">
      <w:pPr>
        <w:pStyle w:val="ListParagraph"/>
        <w:numPr>
          <w:ilvl w:val="0"/>
          <w:numId w:val="34"/>
        </w:numPr>
      </w:pPr>
      <w:r w:rsidRPr="00717AE7">
        <w:t>a concerted effort by the organisation to support people in need, including using its own funds to do so where necessary.</w:t>
      </w:r>
    </w:p>
    <w:p w14:paraId="5786C7E5" w14:textId="267799A5" w:rsidR="009F3D01" w:rsidRDefault="009F3D01" w:rsidP="009F3D01">
      <w:pPr>
        <w:pStyle w:val="Heading3"/>
      </w:pPr>
      <w:r>
        <w:t xml:space="preserve">What </w:t>
      </w:r>
      <w:r w:rsidR="00E333A6">
        <w:t>k</w:t>
      </w:r>
      <w:r>
        <w:t xml:space="preserve">ey </w:t>
      </w:r>
      <w:r w:rsidR="00E333A6">
        <w:t>l</w:t>
      </w:r>
      <w:r>
        <w:t xml:space="preserve">earnings </w:t>
      </w:r>
      <w:r w:rsidR="00E333A6">
        <w:t>w</w:t>
      </w:r>
      <w:r>
        <w:t xml:space="preserve">ould Drummond Street </w:t>
      </w:r>
      <w:r w:rsidR="00E333A6">
        <w:t>l</w:t>
      </w:r>
      <w:r>
        <w:t xml:space="preserve">ike to </w:t>
      </w:r>
      <w:r w:rsidR="00E333A6">
        <w:t>t</w:t>
      </w:r>
      <w:r>
        <w:t xml:space="preserve">ake into the </w:t>
      </w:r>
      <w:r w:rsidR="00E333A6">
        <w:t>f</w:t>
      </w:r>
      <w:r>
        <w:t>uture?</w:t>
      </w:r>
    </w:p>
    <w:p w14:paraId="68AF822B" w14:textId="518A1C32" w:rsidR="009F3D01" w:rsidRDefault="009F3D01" w:rsidP="009F3D01">
      <w:pPr>
        <w:pStyle w:val="Heading4"/>
      </w:pPr>
      <w:r>
        <w:t xml:space="preserve">Increased </w:t>
      </w:r>
      <w:r w:rsidR="00E333A6">
        <w:t>c</w:t>
      </w:r>
      <w:r>
        <w:t xml:space="preserve">ollaboration and </w:t>
      </w:r>
      <w:r w:rsidR="00E333A6">
        <w:t>c</w:t>
      </w:r>
      <w:r>
        <w:t>ommunication</w:t>
      </w:r>
    </w:p>
    <w:p w14:paraId="30218DA1" w14:textId="77777777" w:rsidR="009F3D01" w:rsidRDefault="009F3D01" w:rsidP="009F3D01">
      <w:r>
        <w:t xml:space="preserve">Practitioners reported that the use of technology during COVID-19 facilitated increased team communication, improved de-briefing support, and increased collaboration and integration across teams. This included communication over Microsoft Teams, case coordination around high-risk cases with support from specialist practitioners, and the use of technology to better support individual practitioners. </w:t>
      </w:r>
    </w:p>
    <w:p w14:paraId="12432372" w14:textId="2526BCCB" w:rsidR="009F3D01" w:rsidRDefault="009F3D01" w:rsidP="009F3D01">
      <w:pPr>
        <w:pStyle w:val="Quote"/>
      </w:pPr>
      <w:r>
        <w:t>“Greater de-briefing support has been provided to clinicians in responding to [family violence] … loss of collegial support as a result of working from home…”</w:t>
      </w:r>
    </w:p>
    <w:p w14:paraId="79B84552" w14:textId="77777777" w:rsidR="00972F03" w:rsidRPr="00972F03" w:rsidRDefault="00972F03" w:rsidP="00972F03"/>
    <w:p w14:paraId="34B38A9B" w14:textId="3B455F21" w:rsidR="009F3D01" w:rsidRDefault="009F3D01" w:rsidP="009F3D01">
      <w:pPr>
        <w:pStyle w:val="Quote"/>
      </w:pPr>
      <w:r>
        <w:t>“…at a team level we are consistently in communication via [Microsoft] Teams, and have a morning chat to flag anything happening each day that we may need support from each other”</w:t>
      </w:r>
    </w:p>
    <w:p w14:paraId="245C486D" w14:textId="77777777" w:rsidR="00972F03" w:rsidRPr="00972F03" w:rsidRDefault="00972F03" w:rsidP="00972F03"/>
    <w:p w14:paraId="66D92D01" w14:textId="77777777" w:rsidR="009F3D01" w:rsidRDefault="009F3D01" w:rsidP="009F3D01">
      <w:pPr>
        <w:pStyle w:val="Quote"/>
      </w:pPr>
      <w:r>
        <w:t>“Ensuring there are specific [Microsoft Teams] chats for team conversations to allow room for staff to support each other, asking for debriefs or to flag with staff if they are in a difficult call/session”</w:t>
      </w:r>
    </w:p>
    <w:p w14:paraId="7AF159E8" w14:textId="77777777" w:rsidR="00972F03" w:rsidRPr="00972F03" w:rsidRDefault="00972F03" w:rsidP="00972F03"/>
    <w:p w14:paraId="34A07141" w14:textId="17122EFD" w:rsidR="009F3D01" w:rsidRDefault="009F3D01" w:rsidP="009F3D01">
      <w:pPr>
        <w:pStyle w:val="Quote"/>
      </w:pPr>
      <w:r>
        <w:t>“The work across program areas supported clients in a more integrated way. It was easier to hold case conferences without other organisations having to travel</w:t>
      </w:r>
      <w:r w:rsidR="00972F03">
        <w:t>,</w:t>
      </w:r>
      <w:r>
        <w:t xml:space="preserve"> so they were more likely to be involved</w:t>
      </w:r>
      <w:r w:rsidR="00972F03">
        <w:t>.</w:t>
      </w:r>
      <w:r>
        <w:t>”</w:t>
      </w:r>
    </w:p>
    <w:p w14:paraId="061104C2" w14:textId="77777777" w:rsidR="00972F03" w:rsidRPr="00972F03" w:rsidRDefault="00972F03" w:rsidP="00972F03"/>
    <w:p w14:paraId="0A25A80D" w14:textId="77777777" w:rsidR="009F3D01" w:rsidRDefault="009F3D01" w:rsidP="009F3D01">
      <w:pPr>
        <w:pStyle w:val="Quote"/>
      </w:pPr>
      <w:r>
        <w:t>“Secondary consultation with [the family violence] team”</w:t>
      </w:r>
    </w:p>
    <w:p w14:paraId="61ACC19A" w14:textId="327420A5" w:rsidR="009F3D01" w:rsidRDefault="009F3D01" w:rsidP="009F3D01">
      <w:pPr>
        <w:pStyle w:val="Heading4"/>
      </w:pPr>
      <w:r>
        <w:t xml:space="preserve">Increased </w:t>
      </w:r>
      <w:r w:rsidR="00E333A6">
        <w:t>c</w:t>
      </w:r>
      <w:r>
        <w:t xml:space="preserve">ontact with </w:t>
      </w:r>
      <w:r w:rsidR="00E333A6">
        <w:t>c</w:t>
      </w:r>
      <w:r>
        <w:t>lients</w:t>
      </w:r>
    </w:p>
    <w:p w14:paraId="3B8C2AB4" w14:textId="77777777" w:rsidR="009F3D01" w:rsidRDefault="009F3D01" w:rsidP="009F3D01">
      <w:r>
        <w:t xml:space="preserve">One of the key changes to service delivery during COVID-19 that practitioners would like to see continued is the increase in short safety/wellbeing checks between sessions. During COVID-19, many high-risk clients had shorter, more regular check-ins with their practitioners. These included text messages and quick phone calls (where safe to do so) to see how clients were tracking, as well as to provide support around issues as they emerged for clients. </w:t>
      </w:r>
    </w:p>
    <w:p w14:paraId="0B4F1B9A" w14:textId="77777777" w:rsidR="009F3D01" w:rsidRDefault="009F3D01" w:rsidP="009F3D01">
      <w:pPr>
        <w:pStyle w:val="Heading4"/>
      </w:pPr>
      <w:r>
        <w:t>Telehealth</w:t>
      </w:r>
    </w:p>
    <w:p w14:paraId="74E29F1C" w14:textId="77777777" w:rsidR="009F3D01" w:rsidRDefault="009F3D01" w:rsidP="009F3D01">
      <w:r>
        <w:t xml:space="preserve">Practitioners thought that telehealth – while problematic as the only method of service delivery – will continue to play a critical role in supporting clients moving forward and in providing: </w:t>
      </w:r>
    </w:p>
    <w:p w14:paraId="34FEEFE8" w14:textId="77777777" w:rsidR="009F3D01" w:rsidRDefault="009F3D01" w:rsidP="009F3D01">
      <w:pPr>
        <w:pStyle w:val="Quote"/>
      </w:pPr>
      <w:r>
        <w:t>“Flexibility of service delivery for clients”</w:t>
      </w:r>
    </w:p>
    <w:p w14:paraId="386B0364" w14:textId="77777777" w:rsidR="00972F03" w:rsidRPr="00972F03" w:rsidRDefault="00972F03" w:rsidP="00972F03"/>
    <w:p w14:paraId="6EDD96A5" w14:textId="177EF24D" w:rsidR="0060335B" w:rsidRDefault="009F3D01" w:rsidP="0060335B">
      <w:pPr>
        <w:pStyle w:val="Quote"/>
      </w:pPr>
      <w:r>
        <w:t>“A model that combines online support with in-person support to cater for a wide range of needs”</w:t>
      </w:r>
    </w:p>
    <w:p w14:paraId="3B63CBD4" w14:textId="77777777" w:rsidR="0060335B" w:rsidRDefault="0060335B" w:rsidP="0060335B">
      <w:pPr>
        <w:sectPr w:rsidR="0060335B" w:rsidSect="00972F03">
          <w:headerReference w:type="default" r:id="rId20"/>
          <w:pgSz w:w="11906" w:h="16838"/>
          <w:pgMar w:top="1803" w:right="1440" w:bottom="1440" w:left="1440" w:header="709" w:footer="709" w:gutter="0"/>
          <w:cols w:space="708"/>
          <w:docGrid w:linePitch="360"/>
        </w:sectPr>
      </w:pPr>
    </w:p>
    <w:p w14:paraId="032E021F" w14:textId="56FBB549" w:rsidR="00CF66CE" w:rsidRDefault="00CF66CE" w:rsidP="00CF66CE">
      <w:pPr>
        <w:pStyle w:val="Heading1"/>
      </w:pPr>
      <w:bookmarkStart w:id="24" w:name="_Toc95734884"/>
      <w:bookmarkStart w:id="25" w:name="_Toc98760934"/>
      <w:r>
        <w:t xml:space="preserve">Case </w:t>
      </w:r>
      <w:r w:rsidR="00076562">
        <w:t>s</w:t>
      </w:r>
      <w:r>
        <w:t>tudy: GenWest</w:t>
      </w:r>
      <w:bookmarkEnd w:id="24"/>
      <w:bookmarkEnd w:id="25"/>
    </w:p>
    <w:p w14:paraId="17140BEC" w14:textId="1BBEA946" w:rsidR="00CF66CE" w:rsidRDefault="00CF66CE" w:rsidP="00CF66CE">
      <w:pPr>
        <w:pStyle w:val="Heading2"/>
      </w:pPr>
      <w:bookmarkStart w:id="26" w:name="_Toc95734885"/>
      <w:bookmarkStart w:id="27" w:name="_Toc98760935"/>
      <w:r>
        <w:t xml:space="preserve">About </w:t>
      </w:r>
      <w:r w:rsidR="00076562">
        <w:t>s</w:t>
      </w:r>
      <w:r>
        <w:t xml:space="preserve">ervice </w:t>
      </w:r>
      <w:r w:rsidR="00076562">
        <w:t>d</w:t>
      </w:r>
      <w:r>
        <w:t>elivery</w:t>
      </w:r>
      <w:bookmarkEnd w:id="26"/>
      <w:bookmarkEnd w:id="27"/>
    </w:p>
    <w:p w14:paraId="771A1A1A" w14:textId="77777777" w:rsidR="00CF66CE" w:rsidRDefault="00CF66CE" w:rsidP="00CF66CE">
      <w:r>
        <w:t>GenWest is an organisation working towards gender equity in the western metropolitan region of Melbourne. GenWest provides services that help victim-survivors of family violence. It also supports communities to lead safe and healthy lives, by running social and education programs for people who experience gender inequity. In addition, GenWest partners with other organisations to advocate for equal rights and the prevention of family violence.</w:t>
      </w:r>
    </w:p>
    <w:p w14:paraId="3F683F39" w14:textId="4CD7C24E" w:rsidR="00CF66CE" w:rsidRDefault="00CF66CE" w:rsidP="00CF66CE">
      <w:pPr>
        <w:pStyle w:val="Heading3"/>
      </w:pPr>
      <w:r>
        <w:t xml:space="preserve">Types of </w:t>
      </w:r>
      <w:r w:rsidR="00076562">
        <w:t>s</w:t>
      </w:r>
      <w:r>
        <w:t>ervices</w:t>
      </w:r>
    </w:p>
    <w:p w14:paraId="1D4E3737" w14:textId="77777777" w:rsidR="00CF66CE" w:rsidRDefault="00CF66CE" w:rsidP="00CF66CE">
      <w:r>
        <w:t>GenWest</w:t>
      </w:r>
      <w:r w:rsidRPr="00983AFC" w:rsidDel="00983AFC">
        <w:t xml:space="preserve"> </w:t>
      </w:r>
      <w:r>
        <w:t>prevents, intervenes and responds to the homelessness, ill-health, dislocation and trauma facing victim-survivors of family violence through:</w:t>
      </w:r>
    </w:p>
    <w:p w14:paraId="5CA8F3B9" w14:textId="77777777" w:rsidR="00CF66CE" w:rsidRPr="00076562" w:rsidRDefault="00CF66CE" w:rsidP="00717082">
      <w:pPr>
        <w:pStyle w:val="ListParagraph"/>
        <w:numPr>
          <w:ilvl w:val="0"/>
          <w:numId w:val="35"/>
        </w:numPr>
      </w:pPr>
      <w:r w:rsidRPr="00CA4BA6">
        <w:rPr>
          <w:b/>
          <w:bCs/>
        </w:rPr>
        <w:t>Prevention</w:t>
      </w:r>
      <w:r w:rsidRPr="00076562">
        <w:t xml:space="preserve"> – working to prevent violence, injury or ill health before it occurs.</w:t>
      </w:r>
    </w:p>
    <w:p w14:paraId="589AE9A1" w14:textId="77777777" w:rsidR="00CF66CE" w:rsidRPr="00076562" w:rsidRDefault="00CF66CE" w:rsidP="00717082">
      <w:pPr>
        <w:pStyle w:val="ListParagraph"/>
        <w:numPr>
          <w:ilvl w:val="0"/>
          <w:numId w:val="35"/>
        </w:numPr>
      </w:pPr>
      <w:r w:rsidRPr="00CA4BA6">
        <w:rPr>
          <w:b/>
          <w:bCs/>
        </w:rPr>
        <w:t>Early intervention</w:t>
      </w:r>
      <w:r w:rsidRPr="00076562">
        <w:t xml:space="preserve"> – working with clients experiencing family violence to stop it from getting worse and to prevent it from recurring. GenWest’s family violence crisis response teams intervene as soon as violence is identified. This includes 24-hour support in response to police referrals, as well as face-to-face and over-the-phone risk assessments to assist clients to put safety plans in place.</w:t>
      </w:r>
    </w:p>
    <w:p w14:paraId="4A01B522" w14:textId="77777777" w:rsidR="00CF66CE" w:rsidRPr="00076562" w:rsidRDefault="00CF66CE" w:rsidP="00717082">
      <w:pPr>
        <w:pStyle w:val="ListParagraph"/>
        <w:numPr>
          <w:ilvl w:val="0"/>
          <w:numId w:val="35"/>
        </w:numPr>
      </w:pPr>
      <w:r w:rsidRPr="00CA4BA6">
        <w:rPr>
          <w:b/>
          <w:bCs/>
        </w:rPr>
        <w:t>Response</w:t>
      </w:r>
      <w:r w:rsidRPr="00076562">
        <w:t xml:space="preserve"> – supporting people to move on and recover from their experiences of violence, and to live safe and healthy lives. Case managers work with clients to access GenWest’s housing, refuge, court support and counselling services, and refer them to legal, health and other identified services. Children’s counsellors help strengthen parent-child relationships and support children to heal and recover from their experiences of family violence.</w:t>
      </w:r>
    </w:p>
    <w:p w14:paraId="3E8EA58E" w14:textId="77777777" w:rsidR="00CF66CE" w:rsidRPr="00076562" w:rsidRDefault="00CF66CE" w:rsidP="00717082">
      <w:pPr>
        <w:pStyle w:val="ListParagraph"/>
        <w:numPr>
          <w:ilvl w:val="0"/>
          <w:numId w:val="35"/>
        </w:numPr>
      </w:pPr>
      <w:r w:rsidRPr="00CA4BA6">
        <w:rPr>
          <w:b/>
          <w:bCs/>
        </w:rPr>
        <w:t>Working in partnership to achieve shared goals</w:t>
      </w:r>
      <w:r w:rsidRPr="00076562">
        <w:t xml:space="preserve"> – leading region-wide strategies and partnerships within and beyond the sectors in which GenWest works, to bring about effective and sustainable outcomes for communities.</w:t>
      </w:r>
    </w:p>
    <w:p w14:paraId="01720804" w14:textId="70C7E9F4" w:rsidR="00CF66CE" w:rsidRDefault="00CF66CE" w:rsidP="00CF66CE">
      <w:pPr>
        <w:pStyle w:val="Heading3"/>
      </w:pPr>
      <w:r>
        <w:t xml:space="preserve">Programs </w:t>
      </w:r>
      <w:r w:rsidR="00076562">
        <w:t>d</w:t>
      </w:r>
      <w:r>
        <w:t xml:space="preserve">elivered </w:t>
      </w:r>
      <w:r w:rsidR="00076562">
        <w:t>d</w:t>
      </w:r>
      <w:r>
        <w:t>uring COVID-19</w:t>
      </w:r>
    </w:p>
    <w:p w14:paraId="0EAA2340" w14:textId="77777777" w:rsidR="00CF66CE" w:rsidRDefault="00CF66CE" w:rsidP="00CF66CE">
      <w:r>
        <w:t>GenWest</w:t>
      </w:r>
      <w:r w:rsidRPr="00983AFC" w:rsidDel="00983AFC">
        <w:t xml:space="preserve"> </w:t>
      </w:r>
      <w:r>
        <w:t>delivered a range of programs during this project’s time periods:</w:t>
      </w:r>
    </w:p>
    <w:p w14:paraId="3016FEA8" w14:textId="77777777" w:rsidR="00CF66CE" w:rsidRPr="00076562" w:rsidRDefault="00CF66CE" w:rsidP="00717082">
      <w:pPr>
        <w:pStyle w:val="ListParagraph"/>
        <w:numPr>
          <w:ilvl w:val="0"/>
          <w:numId w:val="36"/>
        </w:numPr>
      </w:pPr>
      <w:r w:rsidRPr="00CA4BA6">
        <w:rPr>
          <w:b/>
          <w:bCs/>
        </w:rPr>
        <w:t>Family Violence First Response service</w:t>
      </w:r>
      <w:r w:rsidRPr="00076562">
        <w:t xml:space="preserve"> – ensuring clients facing a family violence crisis receive follow up as quickly as possible. The team helps clients assess their level of risk and develop and implement a safety plan.</w:t>
      </w:r>
    </w:p>
    <w:p w14:paraId="7D343F0B" w14:textId="77777777" w:rsidR="00CF66CE" w:rsidRPr="00076562" w:rsidRDefault="00CF66CE" w:rsidP="00717082">
      <w:pPr>
        <w:pStyle w:val="ListParagraph"/>
        <w:numPr>
          <w:ilvl w:val="0"/>
          <w:numId w:val="36"/>
        </w:numPr>
      </w:pPr>
      <w:r w:rsidRPr="00CA4BA6">
        <w:rPr>
          <w:b/>
          <w:bCs/>
        </w:rPr>
        <w:t>After Hours team</w:t>
      </w:r>
      <w:r w:rsidRPr="00076562">
        <w:t xml:space="preserve"> – providing after-hours support to clients who are in emergency accommodation in Melbourne’s west.</w:t>
      </w:r>
    </w:p>
    <w:p w14:paraId="5863808B" w14:textId="77777777" w:rsidR="00CF66CE" w:rsidRPr="00076562" w:rsidRDefault="00CF66CE" w:rsidP="00717082">
      <w:pPr>
        <w:pStyle w:val="ListParagraph"/>
        <w:numPr>
          <w:ilvl w:val="0"/>
          <w:numId w:val="36"/>
        </w:numPr>
      </w:pPr>
      <w:r w:rsidRPr="00CA4BA6">
        <w:rPr>
          <w:b/>
          <w:bCs/>
        </w:rPr>
        <w:t>Client and Resident Management (CARM) team</w:t>
      </w:r>
      <w:r w:rsidRPr="00076562">
        <w:t xml:space="preserve"> – coordinating a range of accommodation and housing support options for clients, including a high security communal refuge called Joan’s Place, independent crisis accommodation properties and other transitional housing.</w:t>
      </w:r>
    </w:p>
    <w:p w14:paraId="7C473A2C" w14:textId="77777777" w:rsidR="00CF66CE" w:rsidRPr="00076562" w:rsidRDefault="00CF66CE" w:rsidP="00717082">
      <w:pPr>
        <w:pStyle w:val="ListParagraph"/>
        <w:numPr>
          <w:ilvl w:val="0"/>
          <w:numId w:val="36"/>
        </w:numPr>
      </w:pPr>
      <w:r w:rsidRPr="00CA4BA6">
        <w:rPr>
          <w:b/>
          <w:bCs/>
        </w:rPr>
        <w:t>Risk Assessment Management Panel (RAMP)</w:t>
      </w:r>
      <w:r w:rsidRPr="00076562">
        <w:t xml:space="preserve"> – providing a coordinated approach to increasing the safety of clients who are experiencing a high level of risk to their lives because of family violence. The RAMP increases the accountability of perpetrators and services by tracking and following up on their actions. The RAMP consists of GenWest, Victoria Police, government departments, and mental health and AOD services.</w:t>
      </w:r>
    </w:p>
    <w:p w14:paraId="538F967B" w14:textId="77777777" w:rsidR="00CF66CE" w:rsidRPr="00076562" w:rsidRDefault="00CF66CE" w:rsidP="00717082">
      <w:pPr>
        <w:pStyle w:val="ListParagraph"/>
        <w:numPr>
          <w:ilvl w:val="0"/>
          <w:numId w:val="36"/>
        </w:numPr>
      </w:pPr>
      <w:r w:rsidRPr="00CA4BA6">
        <w:rPr>
          <w:b/>
          <w:bCs/>
        </w:rPr>
        <w:t>Personal Safety Initiative</w:t>
      </w:r>
      <w:r w:rsidRPr="00076562">
        <w:t xml:space="preserve"> – using safety and security measures, including property modifications and technology, to enable clients to remain safely in (or return safely to) their own homes and communities or to relocate to a new home.</w:t>
      </w:r>
    </w:p>
    <w:p w14:paraId="468CC71F" w14:textId="77777777" w:rsidR="00CF66CE" w:rsidRPr="00076562" w:rsidRDefault="00CF66CE" w:rsidP="00717082">
      <w:pPr>
        <w:pStyle w:val="ListParagraph"/>
        <w:numPr>
          <w:ilvl w:val="0"/>
          <w:numId w:val="36"/>
        </w:numPr>
      </w:pPr>
      <w:r w:rsidRPr="00CA4BA6">
        <w:rPr>
          <w:b/>
          <w:bCs/>
        </w:rPr>
        <w:t>Children’s Counselling</w:t>
      </w:r>
      <w:r w:rsidRPr="00076562">
        <w:t xml:space="preserve"> – providing child and youth-focused trauma-informed counselling and therapeutic group work. The program assists children, young people and their protective parent to make sense of, and recover from, experiences of family violence.</w:t>
      </w:r>
    </w:p>
    <w:p w14:paraId="21BFD352" w14:textId="77777777" w:rsidR="00CF66CE" w:rsidRPr="00076562" w:rsidRDefault="00CF66CE" w:rsidP="00717082">
      <w:pPr>
        <w:pStyle w:val="ListParagraph"/>
        <w:numPr>
          <w:ilvl w:val="0"/>
          <w:numId w:val="36"/>
        </w:numPr>
      </w:pPr>
      <w:r w:rsidRPr="00CA4BA6">
        <w:rPr>
          <w:b/>
          <w:bCs/>
        </w:rPr>
        <w:t>Family Violence Flexible Support Package (FSP) program</w:t>
      </w:r>
      <w:r w:rsidRPr="00076562">
        <w:t xml:space="preserve"> – providing funding to case managers from many different services across the west so that they can deliver personalised and holistic responses to clients. FSPs cover costs associated with relocation, security, employment- and education-related expenses, and more.</w:t>
      </w:r>
    </w:p>
    <w:p w14:paraId="571AA936" w14:textId="77777777" w:rsidR="00CF66CE" w:rsidRPr="00076562" w:rsidRDefault="00CF66CE" w:rsidP="00717082">
      <w:pPr>
        <w:pStyle w:val="ListParagraph"/>
        <w:numPr>
          <w:ilvl w:val="0"/>
          <w:numId w:val="36"/>
        </w:numPr>
      </w:pPr>
      <w:r w:rsidRPr="00CA4BA6">
        <w:rPr>
          <w:b/>
          <w:bCs/>
        </w:rPr>
        <w:t>Outreach case management service</w:t>
      </w:r>
      <w:r w:rsidRPr="00076562">
        <w:t xml:space="preserve"> – supporting clients to navigate through the service systems required to secure their safety and re-establish their life after violence. Outreach case managers support clients to identify the level of risk posed to them, develop individual case plans and safety strategies, and coordinate housing, legal, health and other necessary supports to secure their immediate and long-term safety.</w:t>
      </w:r>
    </w:p>
    <w:p w14:paraId="34DA4DD7" w14:textId="77777777" w:rsidR="00CF66CE" w:rsidRPr="00076562" w:rsidRDefault="00CF66CE" w:rsidP="00717082">
      <w:pPr>
        <w:pStyle w:val="ListParagraph"/>
        <w:numPr>
          <w:ilvl w:val="0"/>
          <w:numId w:val="36"/>
        </w:numPr>
      </w:pPr>
      <w:r w:rsidRPr="00CA4BA6">
        <w:rPr>
          <w:b/>
          <w:bCs/>
        </w:rPr>
        <w:t>Court support</w:t>
      </w:r>
      <w:r w:rsidRPr="00076562">
        <w:t xml:space="preserve"> – providing support to clients who are attending a magistrates’ court for an intervention order. This service assists clients to understand their legal rights and effectively navigate the complex court process.</w:t>
      </w:r>
    </w:p>
    <w:p w14:paraId="35E9070D" w14:textId="0656E6D2" w:rsidR="00CF66CE" w:rsidRDefault="00CF66CE" w:rsidP="00CF66CE">
      <w:pPr>
        <w:pStyle w:val="Heading4"/>
      </w:pPr>
      <w:r>
        <w:t xml:space="preserve">Changes </w:t>
      </w:r>
      <w:r w:rsidR="00076562">
        <w:t>d</w:t>
      </w:r>
      <w:r>
        <w:t>uring COVID-19</w:t>
      </w:r>
    </w:p>
    <w:p w14:paraId="47C03E50" w14:textId="77777777" w:rsidR="00CF66CE" w:rsidRDefault="00CF66CE" w:rsidP="00CF66CE">
      <w:r>
        <w:t>GenWest’s after-hours, outreach and first response programs all received increased funding leading up to or during COVID-19. Delivery of GenWest’s court support program reduced during the pandemic due to the closure of courts.</w:t>
      </w:r>
    </w:p>
    <w:p w14:paraId="35234C91" w14:textId="28C811F8" w:rsidR="00CF66CE" w:rsidRDefault="00CF66CE" w:rsidP="00CF66CE">
      <w:pPr>
        <w:pStyle w:val="Heading3"/>
      </w:pPr>
      <w:r>
        <w:t xml:space="preserve">Service </w:t>
      </w:r>
      <w:r w:rsidR="00730D3C">
        <w:t>d</w:t>
      </w:r>
      <w:r>
        <w:t xml:space="preserve">elivery </w:t>
      </w:r>
      <w:r w:rsidR="00730D3C">
        <w:t>a</w:t>
      </w:r>
      <w:r>
        <w:t>rea</w:t>
      </w:r>
    </w:p>
    <w:p w14:paraId="263D37C9" w14:textId="77777777" w:rsidR="00CF66CE" w:rsidRDefault="00CF66CE" w:rsidP="00CF66CE">
      <w:r>
        <w:t>Most clients who access GenWest live in the western region of Melbourne, which includes the local government areas of:</w:t>
      </w:r>
    </w:p>
    <w:p w14:paraId="1591DD15" w14:textId="77777777" w:rsidR="00CF66CE" w:rsidRPr="00730D3C" w:rsidRDefault="00CF66CE" w:rsidP="00717082">
      <w:pPr>
        <w:pStyle w:val="ListParagraph"/>
        <w:numPr>
          <w:ilvl w:val="0"/>
          <w:numId w:val="37"/>
        </w:numPr>
      </w:pPr>
      <w:r w:rsidRPr="00730D3C">
        <w:t>Melton</w:t>
      </w:r>
    </w:p>
    <w:p w14:paraId="17DB37E9" w14:textId="77777777" w:rsidR="00CF66CE" w:rsidRPr="00730D3C" w:rsidRDefault="00CF66CE" w:rsidP="00717082">
      <w:pPr>
        <w:pStyle w:val="ListParagraph"/>
        <w:numPr>
          <w:ilvl w:val="0"/>
          <w:numId w:val="37"/>
        </w:numPr>
      </w:pPr>
      <w:r w:rsidRPr="00730D3C">
        <w:t>Wyndham</w:t>
      </w:r>
    </w:p>
    <w:p w14:paraId="4FFCB1D9" w14:textId="77777777" w:rsidR="00CF66CE" w:rsidRPr="00730D3C" w:rsidRDefault="00CF66CE" w:rsidP="00717082">
      <w:pPr>
        <w:pStyle w:val="ListParagraph"/>
        <w:numPr>
          <w:ilvl w:val="0"/>
          <w:numId w:val="37"/>
        </w:numPr>
      </w:pPr>
      <w:r w:rsidRPr="00730D3C">
        <w:t>Brimbank</w:t>
      </w:r>
    </w:p>
    <w:p w14:paraId="2C3FA142" w14:textId="77777777" w:rsidR="00CF66CE" w:rsidRPr="00730D3C" w:rsidRDefault="00CF66CE" w:rsidP="00717082">
      <w:pPr>
        <w:pStyle w:val="ListParagraph"/>
        <w:numPr>
          <w:ilvl w:val="0"/>
          <w:numId w:val="37"/>
        </w:numPr>
      </w:pPr>
      <w:r w:rsidRPr="00730D3C">
        <w:t>Hobsons Bay</w:t>
      </w:r>
    </w:p>
    <w:p w14:paraId="201A2923" w14:textId="77777777" w:rsidR="00CF66CE" w:rsidRPr="00730D3C" w:rsidRDefault="00CF66CE" w:rsidP="00717082">
      <w:pPr>
        <w:pStyle w:val="ListParagraph"/>
        <w:numPr>
          <w:ilvl w:val="0"/>
          <w:numId w:val="37"/>
        </w:numPr>
      </w:pPr>
      <w:r w:rsidRPr="00730D3C">
        <w:t>Moonee Valley</w:t>
      </w:r>
    </w:p>
    <w:p w14:paraId="26A8D41F" w14:textId="77777777" w:rsidR="00CF66CE" w:rsidRPr="00730D3C" w:rsidRDefault="00CF66CE" w:rsidP="00717082">
      <w:pPr>
        <w:pStyle w:val="ListParagraph"/>
        <w:numPr>
          <w:ilvl w:val="0"/>
          <w:numId w:val="37"/>
        </w:numPr>
      </w:pPr>
      <w:r w:rsidRPr="00730D3C">
        <w:t>Maribyrnong</w:t>
      </w:r>
    </w:p>
    <w:p w14:paraId="35DE69C7" w14:textId="77777777" w:rsidR="00CF66CE" w:rsidRPr="00730D3C" w:rsidRDefault="00CF66CE" w:rsidP="00717082">
      <w:pPr>
        <w:pStyle w:val="ListParagraph"/>
        <w:numPr>
          <w:ilvl w:val="0"/>
          <w:numId w:val="37"/>
        </w:numPr>
      </w:pPr>
      <w:r w:rsidRPr="00730D3C">
        <w:t>part of City of Melbourne.</w:t>
      </w:r>
    </w:p>
    <w:p w14:paraId="308CB9D5" w14:textId="77777777" w:rsidR="00CF66CE" w:rsidRDefault="00CF66CE" w:rsidP="00CF66CE">
      <w:r>
        <w:t>Some clients who access the after-hours service are or were living in other parts of Victoria, but are temporarily located in a motel in the western region, mainly in the inner-west of Melbourne.</w:t>
      </w:r>
    </w:p>
    <w:p w14:paraId="21C1DF3F" w14:textId="77777777" w:rsidR="00CF66CE" w:rsidRDefault="00CF66CE" w:rsidP="00CF66CE">
      <w:r>
        <w:t>GenWest’s main office is in Footscray. Prior to COVID-19, GenWest</w:t>
      </w:r>
      <w:r w:rsidRPr="007224AA" w:rsidDel="007224AA">
        <w:t xml:space="preserve"> </w:t>
      </w:r>
      <w:r>
        <w:t>had outposts in most local government areas and provided support at Melbourne, Werribee and Sunshine courts. During COVID-19, GenWest</w:t>
      </w:r>
      <w:r w:rsidRPr="007224AA" w:rsidDel="007224AA">
        <w:t xml:space="preserve"> </w:t>
      </w:r>
      <w:r>
        <w:t>has operated only online and from its Footscray office.</w:t>
      </w:r>
    </w:p>
    <w:p w14:paraId="31A073C6" w14:textId="77777777" w:rsidR="0065031F" w:rsidRDefault="0065031F">
      <w:pPr>
        <w:spacing w:line="259" w:lineRule="auto"/>
        <w:rPr>
          <w:rFonts w:eastAsiaTheme="majorEastAsia" w:cs="Assistant SemiBold"/>
          <w:b/>
          <w:color w:val="323E4F" w:themeColor="text2" w:themeShade="BF"/>
          <w:sz w:val="44"/>
          <w:szCs w:val="40"/>
        </w:rPr>
      </w:pPr>
      <w:bookmarkStart w:id="28" w:name="_Toc95734886"/>
      <w:r>
        <w:br w:type="page"/>
      </w:r>
    </w:p>
    <w:p w14:paraId="53E9AAA2" w14:textId="2C0AB3CC" w:rsidR="00FB4CBC" w:rsidRDefault="00FB4CBC" w:rsidP="00FB4CBC">
      <w:pPr>
        <w:pStyle w:val="Heading2"/>
      </w:pPr>
      <w:bookmarkStart w:id="29" w:name="_Toc98760936"/>
      <w:r>
        <w:t>What GenWest saw during COVID-19</w:t>
      </w:r>
      <w:bookmarkEnd w:id="28"/>
      <w:bookmarkEnd w:id="29"/>
    </w:p>
    <w:p w14:paraId="4643E65D" w14:textId="77777777" w:rsidR="00FB4CBC" w:rsidRDefault="00FB4CBC" w:rsidP="00FB4CBC">
      <w:r>
        <w:t>During COVID-19, financial insecurity and mental health were the predominant needs that clients reported – 28.4% (n=341) of clients reported financial insecurity and 28.8% (n=346) reported compromised mental health. The most common type of support (89.3%, n=6997) was assistance for family violence.</w:t>
      </w:r>
    </w:p>
    <w:p w14:paraId="35E94BA3" w14:textId="77777777" w:rsidR="00FB4CBC" w:rsidRDefault="00FB4CBC" w:rsidP="00FB4CBC">
      <w:r>
        <w:t>The most common risk level was “at risk”</w:t>
      </w:r>
      <w:r w:rsidRPr="003F5DEF">
        <w:t xml:space="preserve"> </w:t>
      </w:r>
      <w:r>
        <w:t>– 46.1% (n=1296) of clients were assessed at this lowest level. A further 19.5% (n=547) were assessed at “serious risk” and 2.6% (n=72) were assessed at the highest level, “serious risk and requiring immediate protection”.</w:t>
      </w:r>
    </w:p>
    <w:p w14:paraId="52077B7D" w14:textId="77777777" w:rsidR="00FB4CBC" w:rsidRDefault="00FB4CBC" w:rsidP="00FB4CBC">
      <w:r>
        <w:t>In terms of financial support, 37.0% ($1,190,909) was spent on food, clothes, appliances, phones, computers, office supplies and other household items. 18.4% ($592,471) was spent on domestic and personal safety measures (e.g., lock changes, security systems, personal safety devices). Rent comprised 14.5% ($467,319) of expenditure.</w:t>
      </w:r>
    </w:p>
    <w:p w14:paraId="04194AFF" w14:textId="77777777" w:rsidR="00FB4CBC" w:rsidRDefault="00FB4CBC" w:rsidP="00FB4CBC">
      <w:r>
        <w:t>Clients from single parented households were twice as likely to report risk of homelessness (22.5%, n=113), financial insecurity (31.8%, n=160) and/or compromised mental health (32.8%, n=165) than other household types.</w:t>
      </w:r>
    </w:p>
    <w:p w14:paraId="595ED148" w14:textId="77777777" w:rsidR="00FB4CBC" w:rsidRDefault="00FB4CBC" w:rsidP="00FB4CBC">
      <w:r>
        <w:t>First Nations clients were 2.3 times more likely to report financial insecurity (27.8%, n=76) and/or compromised mental health (17.6%, n=48) than non-First Nations clients.</w:t>
      </w:r>
    </w:p>
    <w:p w14:paraId="258F9D49" w14:textId="77777777" w:rsidR="00FB4CBC" w:rsidRDefault="00FB4CBC" w:rsidP="00FB4CBC">
      <w:r>
        <w:t>Concern with mental health was the predominant need for clients with disabilities. These clients were 2.4 times more likely to report compromised mental health (53.4%, n=78) than clients without a disability.</w:t>
      </w:r>
    </w:p>
    <w:p w14:paraId="1191C31A" w14:textId="6A860215" w:rsidR="00FB4CBC" w:rsidRDefault="00FB4CBC" w:rsidP="00FB4CBC">
      <w:pPr>
        <w:pStyle w:val="Heading3"/>
      </w:pPr>
      <w:r>
        <w:t>Co-occurring needs</w:t>
      </w:r>
    </w:p>
    <w:p w14:paraId="1FF67E29" w14:textId="77777777" w:rsidR="00FB4CBC" w:rsidRDefault="00FB4CBC" w:rsidP="00FB4CBC">
      <w:r>
        <w:t>During the COVID-19 period, 1,203 clients started receiving outreach case management support, GenWest’s longer-term support program with the highest data capture. Of these clients:</w:t>
      </w:r>
    </w:p>
    <w:p w14:paraId="4E52A9D5" w14:textId="77777777" w:rsidR="00FB4CBC" w:rsidRPr="00FB4CBC" w:rsidRDefault="00FB4CBC" w:rsidP="00717082">
      <w:pPr>
        <w:pStyle w:val="ListParagraph"/>
        <w:numPr>
          <w:ilvl w:val="0"/>
          <w:numId w:val="38"/>
        </w:numPr>
      </w:pPr>
      <w:r w:rsidRPr="00FB4CBC">
        <w:t>20.7% (n=249) reported risk of homelessness</w:t>
      </w:r>
    </w:p>
    <w:p w14:paraId="544A4065" w14:textId="77777777" w:rsidR="00FB4CBC" w:rsidRPr="00FB4CBC" w:rsidRDefault="00FB4CBC" w:rsidP="00717082">
      <w:pPr>
        <w:pStyle w:val="ListParagraph"/>
        <w:numPr>
          <w:ilvl w:val="0"/>
          <w:numId w:val="38"/>
        </w:numPr>
      </w:pPr>
      <w:r w:rsidRPr="00FB4CBC">
        <w:t>28.4% (n=341) reported financial insecurity</w:t>
      </w:r>
    </w:p>
    <w:p w14:paraId="3F9551BC" w14:textId="77777777" w:rsidR="00FB4CBC" w:rsidRPr="00FB4CBC" w:rsidRDefault="00FB4CBC" w:rsidP="00717082">
      <w:pPr>
        <w:pStyle w:val="ListParagraph"/>
        <w:numPr>
          <w:ilvl w:val="0"/>
          <w:numId w:val="38"/>
        </w:numPr>
      </w:pPr>
      <w:r w:rsidRPr="00FB4CBC">
        <w:t>28.8% (n=346) reported compromised mental health.</w:t>
      </w:r>
    </w:p>
    <w:p w14:paraId="5E6D7A7A" w14:textId="77777777" w:rsidR="00FB4CBC" w:rsidRDefault="00FB4CBC" w:rsidP="00FB4CBC">
      <w:r>
        <w:t>Homelessness, financial insecurity and compromised mental health are common amongst clients seeking family violence support. These needs are likely underrepresented due to the way GenWest currently captures its data.</w:t>
      </w:r>
      <w:r w:rsidRPr="00315AEF">
        <w:rPr>
          <w:noProof/>
        </w:rPr>
        <w:t xml:space="preserve"> </w:t>
      </w:r>
    </w:p>
    <w:p w14:paraId="29008AB7" w14:textId="5F547FBB" w:rsidR="00FB4CBC" w:rsidRDefault="00FB4CBC" w:rsidP="00FB4CBC">
      <w:pPr>
        <w:pStyle w:val="Heading3"/>
      </w:pPr>
      <w:r>
        <w:t>Reasons for seeking assistance</w:t>
      </w:r>
    </w:p>
    <w:p w14:paraId="14D653A4" w14:textId="77777777" w:rsidR="00FB4CBC" w:rsidRDefault="00FB4CBC" w:rsidP="00FB4CBC">
      <w:r>
        <w:t>Across all programs at GenWest, the most common reason for seeking assistance was family violence – 99.6% (n=7716) of clients reported this. This is expected given GenWest</w:t>
      </w:r>
      <w:r w:rsidRPr="007224AA" w:rsidDel="007224AA">
        <w:t xml:space="preserve"> </w:t>
      </w:r>
      <w:r>
        <w:t>is a specialist family violence service.</w:t>
      </w:r>
    </w:p>
    <w:p w14:paraId="7D538727" w14:textId="61BFEF1F" w:rsidR="00FB4CBC" w:rsidRDefault="00FB4CBC" w:rsidP="00FB4CBC">
      <w:pPr>
        <w:pStyle w:val="Heading3"/>
      </w:pPr>
      <w:r>
        <w:t xml:space="preserve">Service </w:t>
      </w:r>
      <w:r w:rsidR="005370A9">
        <w:t>a</w:t>
      </w:r>
      <w:r>
        <w:t>ccess</w:t>
      </w:r>
    </w:p>
    <w:p w14:paraId="0874D570" w14:textId="77777777" w:rsidR="00FB4CBC" w:rsidRDefault="00FB4CBC" w:rsidP="00FB4CBC">
      <w:r>
        <w:t>During COVID-19, GenWest</w:t>
      </w:r>
      <w:r w:rsidRPr="007224AA" w:rsidDel="007224AA">
        <w:t xml:space="preserve"> </w:t>
      </w:r>
      <w:r>
        <w:t>supported 9,338 clients.</w:t>
      </w:r>
    </w:p>
    <w:p w14:paraId="052CDD51" w14:textId="6625CA9C" w:rsidR="00FB4CBC" w:rsidRDefault="00FB4CBC" w:rsidP="00FB4CBC">
      <w:pPr>
        <w:pStyle w:val="Heading4"/>
      </w:pPr>
      <w:r>
        <w:t xml:space="preserve">Length of </w:t>
      </w:r>
      <w:r w:rsidR="00104CD4">
        <w:t>s</w:t>
      </w:r>
      <w:r>
        <w:t>upport</w:t>
      </w:r>
    </w:p>
    <w:p w14:paraId="253325AC" w14:textId="77777777" w:rsidR="00FB4CBC" w:rsidRDefault="00FB4CBC" w:rsidP="00FB4CBC">
      <w:r>
        <w:t>GenWest's</w:t>
      </w:r>
      <w:r w:rsidRPr="007224AA" w:rsidDel="007224AA">
        <w:t xml:space="preserve"> </w:t>
      </w:r>
      <w:r>
        <w:t>programs are broken into five areas:</w:t>
      </w:r>
    </w:p>
    <w:p w14:paraId="363908A2" w14:textId="77777777" w:rsidR="00FB4CBC" w:rsidRPr="005370A9" w:rsidRDefault="00FB4CBC" w:rsidP="00717082">
      <w:pPr>
        <w:pStyle w:val="ListParagraph"/>
        <w:numPr>
          <w:ilvl w:val="0"/>
          <w:numId w:val="39"/>
        </w:numPr>
      </w:pPr>
      <w:r w:rsidRPr="005370A9">
        <w:t>first response</w:t>
      </w:r>
    </w:p>
    <w:p w14:paraId="450CFDD3" w14:textId="77777777" w:rsidR="00FB4CBC" w:rsidRPr="005370A9" w:rsidRDefault="00FB4CBC" w:rsidP="00717082">
      <w:pPr>
        <w:pStyle w:val="ListParagraph"/>
        <w:numPr>
          <w:ilvl w:val="0"/>
          <w:numId w:val="39"/>
        </w:numPr>
      </w:pPr>
      <w:r w:rsidRPr="005370A9">
        <w:t>after-hours</w:t>
      </w:r>
    </w:p>
    <w:p w14:paraId="1E7272BA" w14:textId="77777777" w:rsidR="00FB4CBC" w:rsidRPr="005370A9" w:rsidRDefault="00FB4CBC" w:rsidP="00717082">
      <w:pPr>
        <w:pStyle w:val="ListParagraph"/>
        <w:numPr>
          <w:ilvl w:val="0"/>
          <w:numId w:val="39"/>
        </w:numPr>
      </w:pPr>
      <w:r w:rsidRPr="005370A9">
        <w:t>court support</w:t>
      </w:r>
    </w:p>
    <w:p w14:paraId="27A812B4" w14:textId="77777777" w:rsidR="00FB4CBC" w:rsidRPr="005370A9" w:rsidRDefault="00FB4CBC" w:rsidP="00717082">
      <w:pPr>
        <w:pStyle w:val="ListParagraph"/>
        <w:numPr>
          <w:ilvl w:val="0"/>
          <w:numId w:val="39"/>
        </w:numPr>
      </w:pPr>
      <w:r w:rsidRPr="005370A9">
        <w:t>outreach</w:t>
      </w:r>
    </w:p>
    <w:p w14:paraId="75E241A7" w14:textId="77777777" w:rsidR="00FB4CBC" w:rsidRPr="005370A9" w:rsidRDefault="00FB4CBC" w:rsidP="00717082">
      <w:pPr>
        <w:pStyle w:val="ListParagraph"/>
        <w:numPr>
          <w:ilvl w:val="0"/>
          <w:numId w:val="39"/>
        </w:numPr>
      </w:pPr>
      <w:r w:rsidRPr="005370A9">
        <w:t>refuge.</w:t>
      </w:r>
    </w:p>
    <w:p w14:paraId="03FDA1B4" w14:textId="77777777" w:rsidR="00FB4CBC" w:rsidRDefault="00FB4CBC" w:rsidP="00FB4CBC">
      <w:r>
        <w:t>The majority of clients are supported by GenWest’s first response program. This kind of support is usually provided in a single session. After-hours and court support are also often provided in a single session.</w:t>
      </w:r>
    </w:p>
    <w:p w14:paraId="34311796" w14:textId="77777777" w:rsidR="00FB4CBC" w:rsidRDefault="00FB4CBC" w:rsidP="00FB4CBC">
      <w:r>
        <w:t>GenWest’s outreach program provides longer-term support. This is usually around 12 weeks. For clients accessing the intensive case management program, this is usually six months.</w:t>
      </w:r>
    </w:p>
    <w:p w14:paraId="5A629AE0" w14:textId="77777777" w:rsidR="00FB4CBC" w:rsidRDefault="00FB4CBC" w:rsidP="00FB4CBC">
      <w:r>
        <w:t>The longest periods of support are in GenWest’s refuge program. Overall, less than 1% of clients receive support for a period longer than six months.</w:t>
      </w:r>
    </w:p>
    <w:p w14:paraId="13DC64DC" w14:textId="77777777" w:rsidR="00FB4CBC" w:rsidRDefault="00FB4CBC" w:rsidP="00FB4CBC">
      <w:r>
        <w:t>Across GenWest programs (excluding the refuge program), the average length of support was 14.3 days. The minimum period of support was one day and the maximum was 247 days.</w:t>
      </w:r>
    </w:p>
    <w:p w14:paraId="09160B77" w14:textId="315F3EFC" w:rsidR="00FB4CBC" w:rsidRDefault="00FB4CBC" w:rsidP="00FB4CBC">
      <w:pPr>
        <w:pStyle w:val="Heading4"/>
      </w:pPr>
      <w:r>
        <w:t xml:space="preserve">Types of </w:t>
      </w:r>
      <w:r w:rsidR="005370A9">
        <w:t>s</w:t>
      </w:r>
      <w:r>
        <w:t>upport</w:t>
      </w:r>
      <w:r>
        <w:tab/>
      </w:r>
    </w:p>
    <w:p w14:paraId="2DC288E8" w14:textId="77777777" w:rsidR="00FB4CBC" w:rsidRDefault="00FB4CBC" w:rsidP="00FB4CBC">
      <w:r>
        <w:t>Along with the main reason for seeking assistance, GenWest</w:t>
      </w:r>
      <w:r w:rsidRPr="007224AA" w:rsidDel="007224AA">
        <w:t xml:space="preserve"> </w:t>
      </w:r>
      <w:r>
        <w:t>practitioners also capture the types of support provided to clients. Across all programs at GenWest, the most common type of support was assistance for family violence (89.3%, n=6997). This is expected given GenWest</w:t>
      </w:r>
      <w:r w:rsidRPr="007224AA" w:rsidDel="007224AA">
        <w:t xml:space="preserve"> </w:t>
      </w:r>
      <w:r>
        <w:t>is a specialist family violence service.</w:t>
      </w:r>
    </w:p>
    <w:p w14:paraId="1B0AFA5C" w14:textId="7E04C830" w:rsidR="00FB4CBC" w:rsidRDefault="00FB4CBC" w:rsidP="00FB4CBC">
      <w:r>
        <w:t xml:space="preserve">The second most common type of support required was advice or information, with 81.4% (n=6376) of clients receiving this support (clients can receive more than one type of support). The section </w:t>
      </w:r>
      <w:hyperlink w:anchor="_Types_of_support" w:history="1">
        <w:r w:rsidRPr="00717082">
          <w:rPr>
            <w:rStyle w:val="Hyperlink"/>
            <w:rFonts w:asciiTheme="majorHAnsi" w:hAnsiTheme="majorHAnsi"/>
            <w:b/>
            <w:bCs/>
          </w:rPr>
          <w:t xml:space="preserve">Comparisons </w:t>
        </w:r>
        <w:r w:rsidR="00717082" w:rsidRPr="00717082">
          <w:rPr>
            <w:rStyle w:val="Hyperlink"/>
            <w:rFonts w:asciiTheme="majorHAnsi" w:hAnsiTheme="majorHAnsi"/>
            <w:b/>
            <w:bCs/>
          </w:rPr>
          <w:t>p</w:t>
        </w:r>
        <w:r w:rsidRPr="00717082">
          <w:rPr>
            <w:rStyle w:val="Hyperlink"/>
            <w:rFonts w:asciiTheme="majorHAnsi" w:hAnsiTheme="majorHAnsi"/>
            <w:b/>
            <w:bCs/>
          </w:rPr>
          <w:t xml:space="preserve">rior to and </w:t>
        </w:r>
        <w:r w:rsidR="00717082" w:rsidRPr="00717082">
          <w:rPr>
            <w:rStyle w:val="Hyperlink"/>
            <w:rFonts w:asciiTheme="majorHAnsi" w:hAnsiTheme="majorHAnsi"/>
            <w:b/>
            <w:bCs/>
          </w:rPr>
          <w:t>d</w:t>
        </w:r>
        <w:r w:rsidRPr="00717082">
          <w:rPr>
            <w:rStyle w:val="Hyperlink"/>
            <w:rFonts w:asciiTheme="majorHAnsi" w:hAnsiTheme="majorHAnsi"/>
            <w:b/>
            <w:bCs/>
          </w:rPr>
          <w:t>uring COVID-19</w:t>
        </w:r>
        <w:r w:rsidR="00717082" w:rsidRPr="00717082">
          <w:rPr>
            <w:rStyle w:val="Hyperlink"/>
            <w:rFonts w:asciiTheme="majorHAnsi" w:hAnsiTheme="majorHAnsi"/>
            <w:b/>
            <w:bCs/>
          </w:rPr>
          <w:t xml:space="preserve">: </w:t>
        </w:r>
        <w:r w:rsidR="0091793D">
          <w:rPr>
            <w:rStyle w:val="Hyperlink"/>
            <w:rFonts w:asciiTheme="majorHAnsi" w:hAnsiTheme="majorHAnsi"/>
            <w:b/>
            <w:bCs/>
          </w:rPr>
          <w:t>Types of support</w:t>
        </w:r>
      </w:hyperlink>
      <w:r>
        <w:t xml:space="preserve"> on page</w:t>
      </w:r>
      <w:r w:rsidR="00717082">
        <w:t xml:space="preserve"> 53</w:t>
      </w:r>
      <w:r>
        <w:t xml:space="preserve"> provides a more comprehensive list of support types.</w:t>
      </w:r>
    </w:p>
    <w:p w14:paraId="0F33593E" w14:textId="39C7FBE1" w:rsidR="00FB4CBC" w:rsidRDefault="00FB4CBC" w:rsidP="00FB4CBC">
      <w:pPr>
        <w:pStyle w:val="Heading4"/>
      </w:pPr>
      <w:r>
        <w:t xml:space="preserve">Referral </w:t>
      </w:r>
      <w:r w:rsidR="006F4D11">
        <w:t>s</w:t>
      </w:r>
      <w:r>
        <w:t>ources</w:t>
      </w:r>
    </w:p>
    <w:p w14:paraId="3FF34D61" w14:textId="77777777" w:rsidR="00FB4CBC" w:rsidRDefault="00FB4CBC" w:rsidP="00FB4CBC">
      <w:r>
        <w:t>Across all programs at GenWest, 53.2% (n=7130) of referrals came from police, the most common referral source. The second most common source was self-referrals (15.9%, n=2125).</w:t>
      </w:r>
    </w:p>
    <w:p w14:paraId="73EC625E" w14:textId="22944332" w:rsidR="00FB4CBC" w:rsidRDefault="00FB4CBC" w:rsidP="00FB4CBC">
      <w:pPr>
        <w:pStyle w:val="Heading3"/>
      </w:pPr>
      <w:r>
        <w:t xml:space="preserve">Family </w:t>
      </w:r>
      <w:r w:rsidR="006F4D11">
        <w:t>v</w:t>
      </w:r>
      <w:r>
        <w:t xml:space="preserve">iolence </w:t>
      </w:r>
      <w:r w:rsidR="006F4D11">
        <w:t>r</w:t>
      </w:r>
      <w:r>
        <w:t>isk</w:t>
      </w:r>
    </w:p>
    <w:p w14:paraId="4E86B213" w14:textId="77777777" w:rsidR="00FB4CBC" w:rsidRDefault="00FB4CBC" w:rsidP="00FB4CBC">
      <w:r>
        <w:t>As part of family violence reforms in Victoria, GenWest</w:t>
      </w:r>
      <w:r w:rsidRPr="007224AA" w:rsidDel="007224AA">
        <w:t xml:space="preserve"> </w:t>
      </w:r>
      <w:r>
        <w:t>started using the Family Violence Multi-Agency Risk Assessment and Management (MARAM) adult risk assessment tool in October 2020. A risk assessment is completed each time a client seeks support. Assessments can be used multiple times throughout the year and across different GenWest</w:t>
      </w:r>
      <w:r w:rsidRPr="007224AA" w:rsidDel="007224AA">
        <w:t xml:space="preserve"> </w:t>
      </w:r>
      <w:r>
        <w:t>programs.</w:t>
      </w:r>
    </w:p>
    <w:p w14:paraId="206A5B8B" w14:textId="77777777" w:rsidR="00FB4CBC" w:rsidRDefault="00FB4CBC" w:rsidP="00FB4CBC">
      <w:r>
        <w:t>Across all programs, 2,811 clients had at least one assessment. 4,720 risk assessments were completed in total. Of these:</w:t>
      </w:r>
    </w:p>
    <w:p w14:paraId="2B46B8C4" w14:textId="77777777" w:rsidR="00FB4CBC" w:rsidRPr="006F4D11" w:rsidRDefault="00FB4CBC" w:rsidP="00717082">
      <w:pPr>
        <w:pStyle w:val="ListParagraph"/>
        <w:numPr>
          <w:ilvl w:val="0"/>
          <w:numId w:val="40"/>
        </w:numPr>
      </w:pPr>
      <w:r w:rsidRPr="006F4D11">
        <w:t>46.1% (n=1296) of clients were assessed as being “at risk”</w:t>
      </w:r>
    </w:p>
    <w:p w14:paraId="532B05CD" w14:textId="77777777" w:rsidR="00FB4CBC" w:rsidRPr="006F4D11" w:rsidRDefault="00FB4CBC" w:rsidP="00717082">
      <w:pPr>
        <w:pStyle w:val="ListParagraph"/>
        <w:numPr>
          <w:ilvl w:val="0"/>
          <w:numId w:val="40"/>
        </w:numPr>
      </w:pPr>
      <w:r w:rsidRPr="006F4D11">
        <w:t>41.6% (n=1169) of clients were assessed as being at “elevated risk”</w:t>
      </w:r>
    </w:p>
    <w:p w14:paraId="348A7811" w14:textId="77777777" w:rsidR="00FB4CBC" w:rsidRPr="006F4D11" w:rsidRDefault="00FB4CBC" w:rsidP="00717082">
      <w:pPr>
        <w:pStyle w:val="ListParagraph"/>
        <w:numPr>
          <w:ilvl w:val="0"/>
          <w:numId w:val="40"/>
        </w:numPr>
      </w:pPr>
      <w:r w:rsidRPr="006F4D11">
        <w:t>19.5% (n=547) were assessed as being at “serious risk”</w:t>
      </w:r>
    </w:p>
    <w:p w14:paraId="3F2D01E9" w14:textId="77777777" w:rsidR="00FB4CBC" w:rsidRPr="006F4D11" w:rsidRDefault="00FB4CBC" w:rsidP="00717082">
      <w:pPr>
        <w:pStyle w:val="ListParagraph"/>
        <w:numPr>
          <w:ilvl w:val="0"/>
          <w:numId w:val="40"/>
        </w:numPr>
      </w:pPr>
      <w:r w:rsidRPr="006F4D11">
        <w:t>2.6% (n=72) were assessed as being at “serious risk and requiring immediate protection”.</w:t>
      </w:r>
    </w:p>
    <w:p w14:paraId="3CAF2A67" w14:textId="77777777" w:rsidR="00FB4CBC" w:rsidRDefault="00FB4CBC" w:rsidP="00FB4CBC">
      <w:r>
        <w:t>GenWest receives many referrals from the police that are marked as high-risk. In some instances, GenWest</w:t>
      </w:r>
      <w:r w:rsidRPr="007224AA" w:rsidDel="007224AA">
        <w:t xml:space="preserve"> </w:t>
      </w:r>
      <w:r>
        <w:t>cannot reach the client or the client declines support. These people are not captured in the figures above.</w:t>
      </w:r>
    </w:p>
    <w:p w14:paraId="26FA7455" w14:textId="698B3DD1" w:rsidR="00FB4CBC" w:rsidRDefault="00FB4CBC" w:rsidP="00FB4CBC">
      <w:pPr>
        <w:pStyle w:val="Heading3"/>
      </w:pPr>
      <w:r>
        <w:t xml:space="preserve">Financial </w:t>
      </w:r>
      <w:r w:rsidR="006F4D11">
        <w:t>s</w:t>
      </w:r>
      <w:r>
        <w:t>upport</w:t>
      </w:r>
    </w:p>
    <w:p w14:paraId="714D9C38" w14:textId="77777777" w:rsidR="00FB4CBC" w:rsidRDefault="00FB4CBC" w:rsidP="00FB4CBC">
      <w:r>
        <w:t>During COVID-19, the amount of financial support available for clients increased substantially, as did the amount permitted to be spent per client. The three categories with the highest spends were:</w:t>
      </w:r>
    </w:p>
    <w:p w14:paraId="496F0B27" w14:textId="48E2976F" w:rsidR="00FB4CBC" w:rsidRPr="006F4D11" w:rsidRDefault="00FB4CBC" w:rsidP="00717082">
      <w:pPr>
        <w:pStyle w:val="ListParagraph"/>
        <w:numPr>
          <w:ilvl w:val="0"/>
          <w:numId w:val="41"/>
        </w:numPr>
      </w:pPr>
      <w:r w:rsidRPr="006F4D11">
        <w:t>food, clothes, appliances, phones, computers, office supplies and other household items – $1,190,909</w:t>
      </w:r>
      <w:r w:rsidR="000700BB">
        <w:t xml:space="preserve"> (37.0%</w:t>
      </w:r>
      <w:r w:rsidRPr="006F4D11">
        <w:t>)</w:t>
      </w:r>
    </w:p>
    <w:p w14:paraId="440BA5EB" w14:textId="6FB39CA9" w:rsidR="00FB4CBC" w:rsidRPr="006F4D11" w:rsidRDefault="00FB4CBC" w:rsidP="00717082">
      <w:pPr>
        <w:pStyle w:val="ListParagraph"/>
        <w:numPr>
          <w:ilvl w:val="0"/>
          <w:numId w:val="41"/>
        </w:numPr>
      </w:pPr>
      <w:r w:rsidRPr="006F4D11">
        <w:t>domestic and personal safety measures (e.g., lock change, security system, personal safety device) –</w:t>
      </w:r>
      <w:r w:rsidR="000700BB">
        <w:t xml:space="preserve"> </w:t>
      </w:r>
      <w:r w:rsidRPr="006F4D11">
        <w:t>$592,471</w:t>
      </w:r>
      <w:r w:rsidR="000700BB">
        <w:t xml:space="preserve"> (18.4%</w:t>
      </w:r>
      <w:r w:rsidRPr="006F4D11">
        <w:t>)</w:t>
      </w:r>
    </w:p>
    <w:p w14:paraId="0DE8FE8B" w14:textId="006DDEE5" w:rsidR="00FB4CBC" w:rsidRPr="006F4D11" w:rsidRDefault="00FB4CBC" w:rsidP="00717082">
      <w:pPr>
        <w:pStyle w:val="ListParagraph"/>
        <w:numPr>
          <w:ilvl w:val="0"/>
          <w:numId w:val="41"/>
        </w:numPr>
      </w:pPr>
      <w:r w:rsidRPr="006F4D11">
        <w:t xml:space="preserve">rent </w:t>
      </w:r>
      <w:r w:rsidR="000700BB">
        <w:t xml:space="preserve">to establish or maintain a tenancy </w:t>
      </w:r>
      <w:r w:rsidRPr="006F4D11">
        <w:t>–</w:t>
      </w:r>
      <w:r w:rsidR="000700BB">
        <w:t xml:space="preserve"> </w:t>
      </w:r>
      <w:r w:rsidRPr="006F4D11">
        <w:t>$467,319</w:t>
      </w:r>
      <w:r w:rsidR="000700BB">
        <w:t xml:space="preserve"> (14.5%</w:t>
      </w:r>
      <w:r w:rsidRPr="006F4D11">
        <w:t>).</w:t>
      </w:r>
    </w:p>
    <w:p w14:paraId="21C991A6" w14:textId="42B7EE2F" w:rsidR="000700BB" w:rsidRDefault="000700BB" w:rsidP="00FB4CBC">
      <w:r>
        <w:t>The remaining financial support was for:</w:t>
      </w:r>
    </w:p>
    <w:p w14:paraId="04050B16" w14:textId="12FD10C5" w:rsidR="000700BB" w:rsidRDefault="000700BB" w:rsidP="00717082">
      <w:pPr>
        <w:pStyle w:val="ListParagraph"/>
        <w:numPr>
          <w:ilvl w:val="0"/>
          <w:numId w:val="105"/>
        </w:numPr>
      </w:pPr>
      <w:r>
        <w:t>travel or commuting (e.g., cars, driving lessons, myki cards)</w:t>
      </w:r>
      <w:r w:rsidRPr="006F4D11">
        <w:t xml:space="preserve"> – </w:t>
      </w:r>
      <w:r>
        <w:t>$226,239 (7.0%)</w:t>
      </w:r>
    </w:p>
    <w:p w14:paraId="5086FDDE" w14:textId="4A5D5C5F" w:rsidR="000700BB" w:rsidRDefault="000700BB" w:rsidP="00717082">
      <w:pPr>
        <w:pStyle w:val="ListParagraph"/>
        <w:numPr>
          <w:ilvl w:val="0"/>
          <w:numId w:val="105"/>
        </w:numPr>
      </w:pPr>
      <w:r>
        <w:t>other payment (when payment is used for multiple purposes)</w:t>
      </w:r>
      <w:r w:rsidRPr="006F4D11">
        <w:t xml:space="preserve"> – </w:t>
      </w:r>
      <w:r>
        <w:t>$179,884 (5.6%)</w:t>
      </w:r>
    </w:p>
    <w:p w14:paraId="65C6144C" w14:textId="4B95D9F2" w:rsidR="000700BB" w:rsidRDefault="000700BB" w:rsidP="00717082">
      <w:pPr>
        <w:pStyle w:val="ListParagraph"/>
        <w:numPr>
          <w:ilvl w:val="0"/>
          <w:numId w:val="105"/>
        </w:numPr>
      </w:pPr>
      <w:r>
        <w:t>professional counselling, psychological, parenting support</w:t>
      </w:r>
      <w:r w:rsidRPr="006F4D11">
        <w:t xml:space="preserve"> – </w:t>
      </w:r>
      <w:r>
        <w:t>$116,890 (3.6%)</w:t>
      </w:r>
    </w:p>
    <w:p w14:paraId="7B05A1F7" w14:textId="767CC534" w:rsidR="000700BB" w:rsidRDefault="000700BB" w:rsidP="00717082">
      <w:pPr>
        <w:pStyle w:val="ListParagraph"/>
        <w:numPr>
          <w:ilvl w:val="0"/>
          <w:numId w:val="105"/>
        </w:numPr>
      </w:pPr>
      <w:r>
        <w:t>other health and wellbeing support (e.g., sport, support groups, holidays, respite, cultural)</w:t>
      </w:r>
      <w:r w:rsidRPr="006F4D11">
        <w:t xml:space="preserve"> – </w:t>
      </w:r>
      <w:r>
        <w:t>$76,192 (2.4%)</w:t>
      </w:r>
    </w:p>
    <w:p w14:paraId="22237253" w14:textId="7795BE30" w:rsidR="000700BB" w:rsidRDefault="000700BB" w:rsidP="00717082">
      <w:pPr>
        <w:pStyle w:val="ListParagraph"/>
        <w:numPr>
          <w:ilvl w:val="0"/>
          <w:numId w:val="105"/>
        </w:numPr>
      </w:pPr>
      <w:r>
        <w:t>removalists or storage</w:t>
      </w:r>
      <w:r w:rsidRPr="006F4D11">
        <w:t xml:space="preserve"> – </w:t>
      </w:r>
      <w:r>
        <w:t>$68,590 (2.1%)</w:t>
      </w:r>
    </w:p>
    <w:p w14:paraId="44E59BB7" w14:textId="5222DEA0" w:rsidR="000700BB" w:rsidRDefault="000700BB" w:rsidP="00717082">
      <w:pPr>
        <w:pStyle w:val="ListParagraph"/>
        <w:numPr>
          <w:ilvl w:val="0"/>
          <w:numId w:val="105"/>
        </w:numPr>
      </w:pPr>
      <w:r>
        <w:t>legal services</w:t>
      </w:r>
      <w:r w:rsidRPr="006F4D11">
        <w:t xml:space="preserve"> – </w:t>
      </w:r>
      <w:r>
        <w:t>$60,072 (1.9%)</w:t>
      </w:r>
    </w:p>
    <w:p w14:paraId="379392D9" w14:textId="2EFB71FE" w:rsidR="000700BB" w:rsidRDefault="000700BB" w:rsidP="00717082">
      <w:pPr>
        <w:pStyle w:val="ListParagraph"/>
        <w:numPr>
          <w:ilvl w:val="0"/>
          <w:numId w:val="105"/>
        </w:numPr>
      </w:pPr>
      <w:r>
        <w:t>primary and high school costs (e.g., fees, resources, uniforms, laptops)</w:t>
      </w:r>
      <w:r w:rsidRPr="006F4D11">
        <w:t xml:space="preserve"> – </w:t>
      </w:r>
      <w:r>
        <w:t>$50,565 (1.6%)</w:t>
      </w:r>
    </w:p>
    <w:p w14:paraId="337560BB" w14:textId="70CDBF38" w:rsidR="000700BB" w:rsidRDefault="000700BB" w:rsidP="00717082">
      <w:pPr>
        <w:pStyle w:val="ListParagraph"/>
        <w:numPr>
          <w:ilvl w:val="0"/>
          <w:numId w:val="105"/>
        </w:numPr>
      </w:pPr>
      <w:r>
        <w:t>medical and health (e.g., pharmaceuticals, aids)</w:t>
      </w:r>
      <w:r w:rsidRPr="006F4D11">
        <w:t xml:space="preserve"> – </w:t>
      </w:r>
      <w:r>
        <w:t xml:space="preserve">$48,179 </w:t>
      </w:r>
      <w:r>
        <w:tab/>
        <w:t>1.5%</w:t>
      </w:r>
    </w:p>
    <w:p w14:paraId="390CADDE" w14:textId="7AB03169" w:rsidR="000700BB" w:rsidRDefault="000700BB" w:rsidP="00717082">
      <w:pPr>
        <w:pStyle w:val="ListParagraph"/>
        <w:numPr>
          <w:ilvl w:val="0"/>
          <w:numId w:val="105"/>
        </w:numPr>
      </w:pPr>
      <w:r>
        <w:t>utilities</w:t>
      </w:r>
      <w:r w:rsidRPr="006F4D11">
        <w:t xml:space="preserve"> – </w:t>
      </w:r>
      <w:r>
        <w:t>$41,279 (1.3%)</w:t>
      </w:r>
    </w:p>
    <w:p w14:paraId="3676DF83" w14:textId="64FDA320" w:rsidR="000700BB" w:rsidRDefault="000700BB" w:rsidP="00717082">
      <w:pPr>
        <w:pStyle w:val="ListParagraph"/>
        <w:numPr>
          <w:ilvl w:val="0"/>
          <w:numId w:val="105"/>
        </w:numPr>
      </w:pPr>
      <w:r>
        <w:t>other training, education and employment (e.g., fees, travel, interviews)</w:t>
      </w:r>
      <w:r w:rsidRPr="006F4D11">
        <w:t xml:space="preserve"> – </w:t>
      </w:r>
      <w:r>
        <w:t>$30,179 (0.9%)</w:t>
      </w:r>
    </w:p>
    <w:p w14:paraId="09697178" w14:textId="592954D2" w:rsidR="000700BB" w:rsidRDefault="000700BB" w:rsidP="00717082">
      <w:pPr>
        <w:pStyle w:val="ListParagraph"/>
        <w:numPr>
          <w:ilvl w:val="0"/>
          <w:numId w:val="105"/>
        </w:numPr>
      </w:pPr>
      <w:r>
        <w:t>property modifications to maintain a tenancy</w:t>
      </w:r>
      <w:r w:rsidRPr="006F4D11">
        <w:t xml:space="preserve"> – </w:t>
      </w:r>
      <w:r>
        <w:t>$22,137 (0.7%)</w:t>
      </w:r>
    </w:p>
    <w:p w14:paraId="2D32CA02" w14:textId="6096082B" w:rsidR="000700BB" w:rsidRDefault="000700BB" w:rsidP="00717082">
      <w:pPr>
        <w:pStyle w:val="ListParagraph"/>
        <w:numPr>
          <w:ilvl w:val="0"/>
          <w:numId w:val="105"/>
        </w:numPr>
      </w:pPr>
      <w:r>
        <w:t>childcare (e.g., fees, payments to informal carer)</w:t>
      </w:r>
      <w:r w:rsidRPr="006F4D11">
        <w:t xml:space="preserve"> – </w:t>
      </w:r>
      <w:r>
        <w:t>$21,945 (0.7%)</w:t>
      </w:r>
    </w:p>
    <w:p w14:paraId="107C7829" w14:textId="66C16B59" w:rsidR="000700BB" w:rsidRDefault="000700BB" w:rsidP="00717082">
      <w:pPr>
        <w:pStyle w:val="ListParagraph"/>
        <w:numPr>
          <w:ilvl w:val="0"/>
          <w:numId w:val="105"/>
        </w:numPr>
      </w:pPr>
      <w:r>
        <w:t>clean up</w:t>
      </w:r>
      <w:r w:rsidRPr="006F4D11">
        <w:t xml:space="preserve"> – </w:t>
      </w:r>
      <w:r>
        <w:t>$10,216 (0.3%)</w:t>
      </w:r>
    </w:p>
    <w:p w14:paraId="121A70AC" w14:textId="3F9F77C7" w:rsidR="000700BB" w:rsidRDefault="000700BB" w:rsidP="00717082">
      <w:pPr>
        <w:pStyle w:val="ListParagraph"/>
        <w:numPr>
          <w:ilvl w:val="0"/>
          <w:numId w:val="105"/>
        </w:numPr>
      </w:pPr>
      <w:r>
        <w:t>bond or bond loan debt</w:t>
      </w:r>
      <w:r w:rsidRPr="006F4D11">
        <w:t xml:space="preserve"> – </w:t>
      </w:r>
      <w:r>
        <w:t>$9,854 (0.3%)</w:t>
      </w:r>
    </w:p>
    <w:p w14:paraId="6DED23DE" w14:textId="537D431E" w:rsidR="000700BB" w:rsidRDefault="000700BB" w:rsidP="00717082">
      <w:pPr>
        <w:pStyle w:val="ListParagraph"/>
        <w:numPr>
          <w:ilvl w:val="0"/>
          <w:numId w:val="105"/>
        </w:numPr>
      </w:pPr>
      <w:r>
        <w:t>motels, hotels or other short-term accommodation</w:t>
      </w:r>
      <w:r w:rsidRPr="006F4D11">
        <w:t xml:space="preserve"> – </w:t>
      </w:r>
      <w:r>
        <w:t>$8,541 (0.3%).</w:t>
      </w:r>
    </w:p>
    <w:p w14:paraId="6D052D74" w14:textId="77777777" w:rsidR="0065031F" w:rsidRDefault="0065031F">
      <w:pPr>
        <w:spacing w:line="259" w:lineRule="auto"/>
        <w:rPr>
          <w:rFonts w:eastAsiaTheme="majorEastAsia" w:cs="Assistant SemiBold"/>
          <w:b/>
          <w:color w:val="323E4F" w:themeColor="text2" w:themeShade="BF"/>
          <w:sz w:val="44"/>
          <w:szCs w:val="40"/>
        </w:rPr>
      </w:pPr>
      <w:bookmarkStart w:id="30" w:name="_Toc95734887"/>
      <w:r>
        <w:br w:type="page"/>
      </w:r>
    </w:p>
    <w:p w14:paraId="35F6CFDC" w14:textId="0109B8DA" w:rsidR="00FB4CBC" w:rsidRDefault="00FB4CBC" w:rsidP="00FB4CBC">
      <w:pPr>
        <w:pStyle w:val="Heading2"/>
      </w:pPr>
      <w:bookmarkStart w:id="31" w:name="_Toc98760937"/>
      <w:r>
        <w:t>Demographics</w:t>
      </w:r>
      <w:bookmarkEnd w:id="30"/>
      <w:bookmarkEnd w:id="31"/>
    </w:p>
    <w:p w14:paraId="58910B21" w14:textId="77777777" w:rsidR="00FB4CBC" w:rsidRDefault="00FB4CBC" w:rsidP="00FB4CBC">
      <w:r>
        <w:t>The vast majority of GenWest's</w:t>
      </w:r>
      <w:r w:rsidRPr="007224AA" w:rsidDel="007224AA">
        <w:t xml:space="preserve"> </w:t>
      </w:r>
      <w:r>
        <w:t>clients are women, and most male clients are children. Due to this, this case study does not include data aggregated by gender.</w:t>
      </w:r>
    </w:p>
    <w:p w14:paraId="4F64D385" w14:textId="77777777" w:rsidR="00FB4CBC" w:rsidRDefault="00FB4CBC" w:rsidP="00FB4CBC">
      <w:r>
        <w:t>Clients from single parented households were twice as likely to report risk of homelessness (22.5%, n=113), financial insecurity (31.8%, n=160) and/or compromised mental health (32.8%, n=165) than clients from other household types.</w:t>
      </w:r>
    </w:p>
    <w:p w14:paraId="6A1369AF" w14:textId="77777777" w:rsidR="00FB4CBC" w:rsidRDefault="00FB4CBC" w:rsidP="00FB4CBC">
      <w:r>
        <w:t>First Nations clients were 2.3 times more likely to report financial insecurity (27.8%, n=76) and/or compromised mental health (17.6%, n=48) than non-First Nations clients.</w:t>
      </w:r>
    </w:p>
    <w:p w14:paraId="05CA4CA6" w14:textId="77777777" w:rsidR="00FB4CBC" w:rsidRDefault="00FB4CBC" w:rsidP="00FB4CBC">
      <w:r>
        <w:t>Mental health was the predominant need for clients with disabilities. These clients were 2.4 times more likely to report compromised mental health (53.4%, n=78) than clients without a disability.</w:t>
      </w:r>
    </w:p>
    <w:p w14:paraId="3CEB2943" w14:textId="77777777" w:rsidR="00FB4CBC" w:rsidRDefault="00FB4CBC" w:rsidP="00FB4CBC">
      <w:r>
        <w:t>Financial insecurity was the most common need for clients who speak a first language other than English. They were 1.5 times more likely to report this than clients with English as their first language.</w:t>
      </w:r>
    </w:p>
    <w:p w14:paraId="249AC895" w14:textId="77777777" w:rsidR="00FB4CBC" w:rsidRDefault="00FB4CBC" w:rsidP="00FB4CBC">
      <w:r>
        <w:t>There were no major differences observed across age groups, although this analysis would be strengthened with better data capture.</w:t>
      </w:r>
    </w:p>
    <w:p w14:paraId="610DBC6A" w14:textId="2939A736" w:rsidR="00FB4CBC" w:rsidRDefault="00FB4CBC" w:rsidP="00FB4CBC">
      <w:pPr>
        <w:pStyle w:val="Heading3"/>
      </w:pPr>
      <w:r>
        <w:t xml:space="preserve">Clients with </w:t>
      </w:r>
      <w:r w:rsidR="006F4D11">
        <w:t>d</w:t>
      </w:r>
      <w:r>
        <w:t>isabilities</w:t>
      </w:r>
    </w:p>
    <w:p w14:paraId="670228DD" w14:textId="77777777" w:rsidR="00FB4CBC" w:rsidRDefault="00FB4CBC" w:rsidP="00FB4CBC">
      <w:r>
        <w:t>The most common issue for clients with disabilities was compromised mental health (53.4%, n=78). This was 2.4 times higher than clients without a disability. Clients with disabilities were also 9.3 times more likely to be referred by a mental health service (n=13).</w:t>
      </w:r>
    </w:p>
    <w:p w14:paraId="58E697E0" w14:textId="77777777" w:rsidR="00FB4CBC" w:rsidRDefault="00FB4CBC" w:rsidP="00FB4CBC">
      <w:r>
        <w:t>Across all programs, 4.9% (n=456) of clients reported living with disabilities. 12.1% (n=146) of clients who received outreach case management support reported living with disabilities. The outreach program has a dedicated case manager for clients with disabilities, meaning this cohort may be represented slightly more than in other GenWest</w:t>
      </w:r>
      <w:r w:rsidRPr="007224AA" w:rsidDel="007224AA">
        <w:t xml:space="preserve"> </w:t>
      </w:r>
      <w:r>
        <w:t>programs.</w:t>
      </w:r>
    </w:p>
    <w:p w14:paraId="215D544E" w14:textId="77777777" w:rsidR="00FB4CBC" w:rsidRDefault="00FB4CBC" w:rsidP="00FB4CBC">
      <w:r>
        <w:t xml:space="preserve">The overall number of clients who reported living with disabilities is lower than practitioners expected. It is also low compared to rates of family violence against women with </w:t>
      </w:r>
      <w:r w:rsidDel="00753E11">
        <w:t xml:space="preserve">disabilities </w:t>
      </w:r>
      <w:r>
        <w:t>in the general community. This may be due to limited capture of data relating to disability.</w:t>
      </w:r>
    </w:p>
    <w:p w14:paraId="1477E558" w14:textId="657BB9C7" w:rsidR="00FB4CBC" w:rsidRDefault="00FB4CBC" w:rsidP="00FB4CBC">
      <w:pPr>
        <w:pStyle w:val="Heading4"/>
      </w:pPr>
      <w:r>
        <w:t>Co-</w:t>
      </w:r>
      <w:r w:rsidR="00104CD4">
        <w:t>o</w:t>
      </w:r>
      <w:r>
        <w:t xml:space="preserve">ccurring </w:t>
      </w:r>
      <w:r w:rsidR="00104CD4">
        <w:t>n</w:t>
      </w:r>
      <w:r>
        <w:t>eeds</w:t>
      </w:r>
    </w:p>
    <w:p w14:paraId="56A60C80" w14:textId="77777777" w:rsidR="00FB4CBC" w:rsidRDefault="00FB4CBC" w:rsidP="00FB4CBC">
      <w:r>
        <w:t>Of the clients with disabilities who accessed GenWest’s outreach support:</w:t>
      </w:r>
    </w:p>
    <w:p w14:paraId="3B3A78CC" w14:textId="77777777" w:rsidR="00FB4CBC" w:rsidRPr="00104CD4" w:rsidRDefault="00FB4CBC" w:rsidP="00717082">
      <w:pPr>
        <w:pStyle w:val="ListParagraph"/>
        <w:numPr>
          <w:ilvl w:val="0"/>
          <w:numId w:val="42"/>
        </w:numPr>
      </w:pPr>
      <w:r w:rsidRPr="00104CD4">
        <w:t>33.6% (n=49) reported risk of homelessness, which was 2.0 times higher than clients without a disability</w:t>
      </w:r>
    </w:p>
    <w:p w14:paraId="4D38EBF9" w14:textId="77777777" w:rsidR="00FB4CBC" w:rsidRPr="00104CD4" w:rsidRDefault="00FB4CBC" w:rsidP="00717082">
      <w:pPr>
        <w:pStyle w:val="ListParagraph"/>
        <w:numPr>
          <w:ilvl w:val="0"/>
          <w:numId w:val="42"/>
        </w:numPr>
      </w:pPr>
      <w:r w:rsidRPr="00104CD4">
        <w:t>32.2% (n=47) reported financial insecurity, which was 1.3 times higher than clients without a disability</w:t>
      </w:r>
    </w:p>
    <w:p w14:paraId="1BC17C56" w14:textId="77777777" w:rsidR="00FB4CBC" w:rsidRPr="00104CD4" w:rsidRDefault="00FB4CBC" w:rsidP="00717082">
      <w:pPr>
        <w:pStyle w:val="ListParagraph"/>
        <w:numPr>
          <w:ilvl w:val="0"/>
          <w:numId w:val="42"/>
        </w:numPr>
      </w:pPr>
      <w:r w:rsidRPr="00104CD4">
        <w:t>53.4% (n=78) reported compromised mental health, which was 2.4 times higher than clients without a disability</w:t>
      </w:r>
    </w:p>
    <w:p w14:paraId="68CBB0A7" w14:textId="6C16B095" w:rsidR="00FB4CBC" w:rsidRDefault="00FB4CBC" w:rsidP="00FB4CBC">
      <w:pPr>
        <w:pStyle w:val="Heading4"/>
      </w:pPr>
      <w:r>
        <w:t xml:space="preserve">Primary </w:t>
      </w:r>
      <w:r w:rsidR="00104CD4">
        <w:t>r</w:t>
      </w:r>
      <w:r>
        <w:t xml:space="preserve">easons for </w:t>
      </w:r>
      <w:r w:rsidR="00104CD4">
        <w:t>s</w:t>
      </w:r>
      <w:r>
        <w:t xml:space="preserve">eeking </w:t>
      </w:r>
      <w:r w:rsidR="00104CD4">
        <w:t>a</w:t>
      </w:r>
      <w:r>
        <w:t>ssistance</w:t>
      </w:r>
    </w:p>
    <w:p w14:paraId="6944E675" w14:textId="77777777" w:rsidR="00FB4CBC" w:rsidRDefault="00FB4CBC" w:rsidP="00FB4CBC">
      <w:r>
        <w:t>Across all programs at GenWest, the most common reason for clients with disabilities to seek assistance was family violence (100%, n=287). This is consistent with all cohorts and is expected given GenWest</w:t>
      </w:r>
      <w:r w:rsidRPr="007224AA" w:rsidDel="007224AA">
        <w:t xml:space="preserve"> </w:t>
      </w:r>
      <w:r>
        <w:t>is a specialist family violence service.</w:t>
      </w:r>
    </w:p>
    <w:p w14:paraId="134A1702" w14:textId="77777777" w:rsidR="00FB4CBC" w:rsidRDefault="00FB4CBC" w:rsidP="00FB4CBC">
      <w:r>
        <w:t>The most common referral sources for people with disabilities were similar to people without a disability. Notably, clients with disabilities were:</w:t>
      </w:r>
    </w:p>
    <w:p w14:paraId="1C616EE9" w14:textId="77777777" w:rsidR="00FB4CBC" w:rsidRPr="00104CD4" w:rsidRDefault="00FB4CBC" w:rsidP="00717082">
      <w:pPr>
        <w:pStyle w:val="ListParagraph"/>
        <w:numPr>
          <w:ilvl w:val="0"/>
          <w:numId w:val="43"/>
        </w:numPr>
      </w:pPr>
      <w:r w:rsidRPr="00104CD4">
        <w:t>9.3 times more likely to be referred by a mental health service (n=13)</w:t>
      </w:r>
    </w:p>
    <w:p w14:paraId="60E8A98C" w14:textId="77777777" w:rsidR="00FB4CBC" w:rsidRPr="00104CD4" w:rsidRDefault="00FB4CBC" w:rsidP="00717082">
      <w:pPr>
        <w:pStyle w:val="ListParagraph"/>
        <w:numPr>
          <w:ilvl w:val="0"/>
          <w:numId w:val="43"/>
        </w:numPr>
      </w:pPr>
      <w:r w:rsidRPr="00104CD4">
        <w:t>4.1 times more likely to be referred by a hospital (n=13)</w:t>
      </w:r>
    </w:p>
    <w:p w14:paraId="58BD55F2" w14:textId="77777777" w:rsidR="00FB4CBC" w:rsidRPr="00104CD4" w:rsidRDefault="00FB4CBC" w:rsidP="00717082">
      <w:pPr>
        <w:pStyle w:val="ListParagraph"/>
        <w:numPr>
          <w:ilvl w:val="0"/>
          <w:numId w:val="43"/>
        </w:numPr>
      </w:pPr>
      <w:r w:rsidRPr="00104CD4">
        <w:t>3.2 times more likely to be self-referred (n=151).</w:t>
      </w:r>
    </w:p>
    <w:p w14:paraId="729708F1" w14:textId="422A133E" w:rsidR="00FB4CBC" w:rsidRDefault="00FB4CBC" w:rsidP="00FB4CBC">
      <w:pPr>
        <w:pStyle w:val="Heading3"/>
      </w:pPr>
      <w:r>
        <w:t xml:space="preserve">Clients </w:t>
      </w:r>
      <w:r w:rsidR="00104CD4">
        <w:t>a</w:t>
      </w:r>
      <w:r>
        <w:t xml:space="preserve">ged </w:t>
      </w:r>
      <w:r w:rsidR="00104CD4">
        <w:t>o</w:t>
      </w:r>
      <w:r>
        <w:t>ver 55</w:t>
      </w:r>
    </w:p>
    <w:p w14:paraId="273EF233" w14:textId="77777777" w:rsidR="00FB4CBC" w:rsidRDefault="00FB4CBC" w:rsidP="00FB4CBC">
      <w:r>
        <w:t>The needs of clients aged over 55 appear to be similar to clients aged under 55, although the amount of available data is limited. Across all programs, 8.2% (n=641) of clients were aged over 55. 3.2% (n=38) of clients who received outreach case management support were aged over 55.</w:t>
      </w:r>
    </w:p>
    <w:p w14:paraId="34DE50B1" w14:textId="00523163" w:rsidR="00FB4CBC" w:rsidRDefault="00FB4CBC" w:rsidP="00FB4CBC">
      <w:pPr>
        <w:pStyle w:val="Heading4"/>
      </w:pPr>
      <w:r>
        <w:t>Co-</w:t>
      </w:r>
      <w:r w:rsidR="00104CD4">
        <w:t>o</w:t>
      </w:r>
      <w:r>
        <w:t xml:space="preserve">ccurring </w:t>
      </w:r>
      <w:r w:rsidR="00104CD4">
        <w:t>n</w:t>
      </w:r>
      <w:r>
        <w:t>eeds</w:t>
      </w:r>
    </w:p>
    <w:p w14:paraId="4FCA58B0" w14:textId="77777777" w:rsidR="00FB4CBC" w:rsidRDefault="00FB4CBC" w:rsidP="00FB4CBC">
      <w:r>
        <w:t>Of the clients aged over 55 who accessed GenWest’s outreach support:</w:t>
      </w:r>
    </w:p>
    <w:p w14:paraId="20B92F3B" w14:textId="77777777" w:rsidR="00FB4CBC" w:rsidRPr="00104CD4" w:rsidRDefault="00FB4CBC" w:rsidP="00717082">
      <w:pPr>
        <w:pStyle w:val="ListParagraph"/>
        <w:numPr>
          <w:ilvl w:val="0"/>
          <w:numId w:val="44"/>
        </w:numPr>
      </w:pPr>
      <w:r w:rsidRPr="00104CD4">
        <w:t>13.2% (n=5) reported risk of homelessness, which was slightly lower than clients aged 55 and under</w:t>
      </w:r>
    </w:p>
    <w:p w14:paraId="7B55B55C" w14:textId="77777777" w:rsidR="00FB4CBC" w:rsidRPr="00104CD4" w:rsidRDefault="00FB4CBC" w:rsidP="00717082">
      <w:pPr>
        <w:pStyle w:val="ListParagraph"/>
        <w:numPr>
          <w:ilvl w:val="0"/>
          <w:numId w:val="44"/>
        </w:numPr>
      </w:pPr>
      <w:r w:rsidRPr="00104CD4">
        <w:t>36.8% (n=14) reported financial insecurity, which was slightly higher than clients aged 55 and under</w:t>
      </w:r>
    </w:p>
    <w:p w14:paraId="221B7CD7" w14:textId="77777777" w:rsidR="00FB4CBC" w:rsidRPr="00104CD4" w:rsidRDefault="00FB4CBC" w:rsidP="00717082">
      <w:pPr>
        <w:pStyle w:val="ListParagraph"/>
        <w:numPr>
          <w:ilvl w:val="0"/>
          <w:numId w:val="44"/>
        </w:numPr>
      </w:pPr>
      <w:r w:rsidRPr="00104CD4">
        <w:t>34.2% (n=13) reported compromised mental health, which was slightly higher than clients aged 55 and under.</w:t>
      </w:r>
    </w:p>
    <w:p w14:paraId="139105AC" w14:textId="075F4374" w:rsidR="00FB4CBC" w:rsidRDefault="00FB4CBC" w:rsidP="00FB4CBC">
      <w:pPr>
        <w:pStyle w:val="Heading4"/>
      </w:pPr>
      <w:r>
        <w:t xml:space="preserve">Primary </w:t>
      </w:r>
      <w:r w:rsidR="00104CD4">
        <w:t>r</w:t>
      </w:r>
      <w:r>
        <w:t xml:space="preserve">easons for </w:t>
      </w:r>
      <w:r w:rsidR="00104CD4">
        <w:t>s</w:t>
      </w:r>
      <w:r>
        <w:t xml:space="preserve">eeking </w:t>
      </w:r>
      <w:r w:rsidR="00104CD4">
        <w:t>a</w:t>
      </w:r>
      <w:r>
        <w:t>ssistance</w:t>
      </w:r>
    </w:p>
    <w:p w14:paraId="3D93487D" w14:textId="77777777" w:rsidR="00FB4CBC" w:rsidRDefault="00FB4CBC" w:rsidP="00FB4CBC">
      <w:r>
        <w:t>Across all programs at GenWest, the most common reason for clients aged over 55 to seek assistance was family violence (99.7%, n=638). This is consistent across cohorts and is expected given GenWest</w:t>
      </w:r>
      <w:r w:rsidRPr="007224AA" w:rsidDel="007224AA">
        <w:t xml:space="preserve"> </w:t>
      </w:r>
      <w:r>
        <w:t>is a specialist family violence service.</w:t>
      </w:r>
    </w:p>
    <w:p w14:paraId="5650B54E" w14:textId="77777777" w:rsidR="00FB4CBC" w:rsidRDefault="00FB4CBC" w:rsidP="00FB4CBC">
      <w:r>
        <w:t>Referral sources for clients aged over 55 were similar to clients aged under 55.</w:t>
      </w:r>
    </w:p>
    <w:p w14:paraId="71485FA1" w14:textId="31C956FF" w:rsidR="00FB4CBC" w:rsidRDefault="00FB4CBC" w:rsidP="00FB4CBC">
      <w:pPr>
        <w:pStyle w:val="Heading3"/>
      </w:pPr>
      <w:r>
        <w:t xml:space="preserve">Clients </w:t>
      </w:r>
      <w:r w:rsidR="00DB46D3">
        <w:t>a</w:t>
      </w:r>
      <w:r>
        <w:t xml:space="preserve">ged </w:t>
      </w:r>
      <w:r w:rsidR="00DB46D3">
        <w:t>u</w:t>
      </w:r>
      <w:r>
        <w:t>nder 25</w:t>
      </w:r>
    </w:p>
    <w:p w14:paraId="00898BB8" w14:textId="77777777" w:rsidR="00FB4CBC" w:rsidRDefault="00FB4CBC" w:rsidP="00FB4CBC">
      <w:r>
        <w:t>The needs of clients aged under 25 appear to be similar to clients aged 25 and over, however the data available is limited. Across all programs, 11.7% (n=917) of clients were aged under 25. 5.8% (n=70) of clients who received outreach case management support were aged under 25.</w:t>
      </w:r>
    </w:p>
    <w:p w14:paraId="37C1B86F" w14:textId="2FF8F8B1" w:rsidR="00FB4CBC" w:rsidRDefault="00FB4CBC" w:rsidP="00FB4CBC">
      <w:pPr>
        <w:pStyle w:val="Heading4"/>
      </w:pPr>
      <w:r>
        <w:t>Co-</w:t>
      </w:r>
      <w:r w:rsidR="00DB46D3">
        <w:t>o</w:t>
      </w:r>
      <w:r>
        <w:t xml:space="preserve">ccurring </w:t>
      </w:r>
      <w:r w:rsidR="00DB46D3">
        <w:t>n</w:t>
      </w:r>
      <w:r>
        <w:t>eeds</w:t>
      </w:r>
    </w:p>
    <w:p w14:paraId="1DCD42B5" w14:textId="77777777" w:rsidR="00FB4CBC" w:rsidRDefault="00FB4CBC" w:rsidP="00FB4CBC">
      <w:r>
        <w:t>Of the clients aged under 25 who accessed GenWest’s outreach support:</w:t>
      </w:r>
    </w:p>
    <w:p w14:paraId="6684EA86" w14:textId="77777777" w:rsidR="00FB4CBC" w:rsidRPr="00DB46D3" w:rsidRDefault="00FB4CBC" w:rsidP="00717082">
      <w:pPr>
        <w:pStyle w:val="ListParagraph"/>
        <w:numPr>
          <w:ilvl w:val="0"/>
          <w:numId w:val="45"/>
        </w:numPr>
      </w:pPr>
      <w:r w:rsidRPr="00DB46D3">
        <w:t>21.4% (n=15) reported risk of homelessness</w:t>
      </w:r>
    </w:p>
    <w:p w14:paraId="14260F8B" w14:textId="77777777" w:rsidR="00FB4CBC" w:rsidRPr="00DB46D3" w:rsidRDefault="00FB4CBC" w:rsidP="00717082">
      <w:pPr>
        <w:pStyle w:val="ListParagraph"/>
        <w:numPr>
          <w:ilvl w:val="0"/>
          <w:numId w:val="45"/>
        </w:numPr>
      </w:pPr>
      <w:r w:rsidRPr="00DB46D3">
        <w:t>25.7% (n=18) reported financial insecurity</w:t>
      </w:r>
    </w:p>
    <w:p w14:paraId="132EFA73" w14:textId="77777777" w:rsidR="00FB4CBC" w:rsidRPr="00DB46D3" w:rsidRDefault="00FB4CBC" w:rsidP="00717082">
      <w:pPr>
        <w:pStyle w:val="ListParagraph"/>
        <w:numPr>
          <w:ilvl w:val="0"/>
          <w:numId w:val="45"/>
        </w:numPr>
      </w:pPr>
      <w:r w:rsidRPr="00DB46D3">
        <w:t>32.9% (n=23) reported compromised mental health.</w:t>
      </w:r>
    </w:p>
    <w:p w14:paraId="0C4AD50A" w14:textId="77777777" w:rsidR="00FB4CBC" w:rsidRDefault="00FB4CBC" w:rsidP="00FB4CBC">
      <w:r>
        <w:t>These three rates were all about the same as those of clients aged 25 and over.</w:t>
      </w:r>
    </w:p>
    <w:p w14:paraId="2DDB8A25" w14:textId="390100F0" w:rsidR="00FB4CBC" w:rsidRDefault="00FB4CBC" w:rsidP="00FB4CBC">
      <w:pPr>
        <w:pStyle w:val="Heading4"/>
      </w:pPr>
      <w:r>
        <w:t xml:space="preserve">Primary </w:t>
      </w:r>
      <w:r w:rsidR="004C0F07">
        <w:t>r</w:t>
      </w:r>
      <w:r>
        <w:t xml:space="preserve">easons for </w:t>
      </w:r>
      <w:r w:rsidR="004C0F07">
        <w:t>s</w:t>
      </w:r>
      <w:r>
        <w:t xml:space="preserve">eeking </w:t>
      </w:r>
      <w:r w:rsidR="004C0F07">
        <w:t>a</w:t>
      </w:r>
      <w:r>
        <w:t>ssistance</w:t>
      </w:r>
    </w:p>
    <w:p w14:paraId="5A4F790B" w14:textId="77777777" w:rsidR="00FB4CBC" w:rsidRDefault="00FB4CBC" w:rsidP="00FB4CBC">
      <w:r>
        <w:t>Across all programs at GenWest, the most common reason for clients aged under 25 to seek assistance was family violence (99.9%, n=876). This is consistent with other cohorts and is expected given GenWest</w:t>
      </w:r>
      <w:r w:rsidRPr="007224AA" w:rsidDel="007224AA">
        <w:t xml:space="preserve"> </w:t>
      </w:r>
      <w:r>
        <w:t>is a specialist family violence service.</w:t>
      </w:r>
    </w:p>
    <w:p w14:paraId="35E37F67" w14:textId="77777777" w:rsidR="00FB4CBC" w:rsidRDefault="00FB4CBC" w:rsidP="00FB4CBC">
      <w:r>
        <w:t>Referral sources for clients aged under 25 were similar to clients aged 25 and over.</w:t>
      </w:r>
    </w:p>
    <w:p w14:paraId="739B552D" w14:textId="3D6E986F" w:rsidR="00FB4CBC" w:rsidRDefault="00FB4CBC" w:rsidP="00FB4CBC">
      <w:pPr>
        <w:pStyle w:val="Heading3"/>
      </w:pPr>
      <w:r>
        <w:t xml:space="preserve">Single </w:t>
      </w:r>
      <w:r w:rsidR="004C0F07">
        <w:t>p</w:t>
      </w:r>
      <w:r>
        <w:t xml:space="preserve">arented </w:t>
      </w:r>
      <w:r w:rsidR="004C0F07">
        <w:t>h</w:t>
      </w:r>
      <w:r>
        <w:t>ouseholds</w:t>
      </w:r>
    </w:p>
    <w:p w14:paraId="291F997C" w14:textId="77777777" w:rsidR="00FB4CBC" w:rsidRDefault="00FB4CBC" w:rsidP="00FB4CBC">
      <w:r>
        <w:t>The number of clients from single parented households who accessed outreach case management was high (41.8%, n=503). Across all programs, 13.2% (n=1037) of clients reported living in a single parented household. 41.8% (n=503) of clients who received outreach case management support reported living in a single parented household.</w:t>
      </w:r>
    </w:p>
    <w:p w14:paraId="3C4FE085" w14:textId="5DBD64CF" w:rsidR="00FB4CBC" w:rsidRDefault="00FB4CBC" w:rsidP="00FB4CBC">
      <w:pPr>
        <w:pStyle w:val="Heading4"/>
      </w:pPr>
      <w:r>
        <w:t>Co-</w:t>
      </w:r>
      <w:r w:rsidR="004C0F07">
        <w:t>o</w:t>
      </w:r>
      <w:r>
        <w:t xml:space="preserve">ccurring </w:t>
      </w:r>
      <w:r w:rsidR="004C0F07">
        <w:t>n</w:t>
      </w:r>
      <w:r>
        <w:t>eeds</w:t>
      </w:r>
    </w:p>
    <w:p w14:paraId="5F652A2D" w14:textId="77777777" w:rsidR="00FB4CBC" w:rsidRDefault="00FB4CBC" w:rsidP="00FB4CBC">
      <w:r>
        <w:t>Of the 503 clients from single parented households who accessed GenWest’s outreach support:</w:t>
      </w:r>
    </w:p>
    <w:p w14:paraId="470FF4B6" w14:textId="77777777" w:rsidR="00FB4CBC" w:rsidRPr="004C0F07" w:rsidRDefault="00FB4CBC" w:rsidP="00717082">
      <w:pPr>
        <w:pStyle w:val="ListParagraph"/>
        <w:numPr>
          <w:ilvl w:val="0"/>
          <w:numId w:val="46"/>
        </w:numPr>
      </w:pPr>
      <w:r w:rsidRPr="004C0F07">
        <w:t>22.5% (n=113) reported risk of homelessness, which was double other household types</w:t>
      </w:r>
    </w:p>
    <w:p w14:paraId="4A2BC754" w14:textId="77777777" w:rsidR="00FB4CBC" w:rsidRPr="004C0F07" w:rsidRDefault="00FB4CBC" w:rsidP="00717082">
      <w:pPr>
        <w:pStyle w:val="ListParagraph"/>
        <w:numPr>
          <w:ilvl w:val="0"/>
          <w:numId w:val="46"/>
        </w:numPr>
      </w:pPr>
      <w:r w:rsidRPr="004C0F07">
        <w:t>31.8% (n=160) reported financial insecurity, which was also double other household types</w:t>
      </w:r>
    </w:p>
    <w:p w14:paraId="0C8AB9DC" w14:textId="77777777" w:rsidR="00FB4CBC" w:rsidRPr="004C0F07" w:rsidRDefault="00FB4CBC" w:rsidP="00717082">
      <w:pPr>
        <w:pStyle w:val="ListParagraph"/>
        <w:numPr>
          <w:ilvl w:val="0"/>
          <w:numId w:val="46"/>
        </w:numPr>
      </w:pPr>
      <w:r w:rsidRPr="004C0F07">
        <w:t>32.8% (n=165) reported compromised mental health, which was also double other household types.</w:t>
      </w:r>
    </w:p>
    <w:p w14:paraId="4108E651" w14:textId="12B7F20F" w:rsidR="00FB4CBC" w:rsidRDefault="00FB4CBC" w:rsidP="00FB4CBC">
      <w:pPr>
        <w:pStyle w:val="Heading4"/>
      </w:pPr>
      <w:r>
        <w:t xml:space="preserve">Primary </w:t>
      </w:r>
      <w:r w:rsidR="004C0F07">
        <w:t>r</w:t>
      </w:r>
      <w:r>
        <w:t xml:space="preserve">easons for </w:t>
      </w:r>
      <w:r w:rsidR="004C0F07">
        <w:t>s</w:t>
      </w:r>
      <w:r>
        <w:t xml:space="preserve">eeking </w:t>
      </w:r>
      <w:r w:rsidR="004C0F07">
        <w:t>a</w:t>
      </w:r>
      <w:r>
        <w:t>ssistance</w:t>
      </w:r>
    </w:p>
    <w:p w14:paraId="0D789083" w14:textId="77777777" w:rsidR="00FB4CBC" w:rsidRDefault="00FB4CBC" w:rsidP="00FB4CBC">
      <w:r>
        <w:t>Across all programs at GenWest, the most common reason for clients from single parented households to seek assistance was family violence (99.8%, n=1035). This is consistent with all other cohorts and expected given GenWest</w:t>
      </w:r>
      <w:r w:rsidRPr="007224AA" w:rsidDel="007224AA">
        <w:t xml:space="preserve"> </w:t>
      </w:r>
      <w:r>
        <w:t>is a specialist family violence service.</w:t>
      </w:r>
    </w:p>
    <w:p w14:paraId="654CB852" w14:textId="77777777" w:rsidR="00FB4CBC" w:rsidRDefault="00FB4CBC" w:rsidP="00FB4CBC">
      <w:r>
        <w:t>In addition to family violence assistance:</w:t>
      </w:r>
    </w:p>
    <w:p w14:paraId="4B480D9C" w14:textId="77777777" w:rsidR="00FB4CBC" w:rsidRPr="000700BB" w:rsidRDefault="00FB4CBC" w:rsidP="00717082">
      <w:pPr>
        <w:pStyle w:val="ListParagraph"/>
        <w:numPr>
          <w:ilvl w:val="0"/>
          <w:numId w:val="106"/>
        </w:numPr>
      </w:pPr>
      <w:r w:rsidRPr="000700BB">
        <w:t>6.1% (n=63) also sought financial assistance, which was 5.8 times higher than other household types</w:t>
      </w:r>
    </w:p>
    <w:p w14:paraId="263F0220" w14:textId="77777777" w:rsidR="00FB4CBC" w:rsidRPr="000700BB" w:rsidRDefault="00FB4CBC" w:rsidP="00717082">
      <w:pPr>
        <w:pStyle w:val="ListParagraph"/>
        <w:numPr>
          <w:ilvl w:val="0"/>
          <w:numId w:val="106"/>
        </w:numPr>
      </w:pPr>
      <w:r w:rsidRPr="000700BB">
        <w:t>3.3% (n=34) also sought assistance for housing affordability stress, which was 8.2 times higher than other households.</w:t>
      </w:r>
    </w:p>
    <w:p w14:paraId="5A41410B" w14:textId="77777777" w:rsidR="00FB4CBC" w:rsidRDefault="00FB4CBC" w:rsidP="00FB4CBC">
      <w:r>
        <w:t>The most common referral sources for clients from single parented households were similar to clients from other household types. Notably, clients from single parented households were twice as likely to be referred by family or friends (n=14).</w:t>
      </w:r>
    </w:p>
    <w:p w14:paraId="05488A6C" w14:textId="77777777" w:rsidR="009612AD" w:rsidRDefault="009612AD" w:rsidP="009612AD">
      <w:pPr>
        <w:pStyle w:val="Heading3"/>
      </w:pPr>
      <w:r>
        <w:t>Clients from non-English speaking backgrounds</w:t>
      </w:r>
    </w:p>
    <w:p w14:paraId="1FC06CB3" w14:textId="77777777" w:rsidR="00FB4CBC" w:rsidRDefault="00FB4CBC" w:rsidP="00FB4CBC">
      <w:r>
        <w:t>Homelessness and financial insecurity were the most common needs for people who speak a first language other than English. Across all programs, 19.9% (n=1559) of clients reported a first language other than English, while 31.9% (n=384) of clients who received outreach case management support reported having a first language other than English.</w:t>
      </w:r>
    </w:p>
    <w:p w14:paraId="3416DE9A" w14:textId="49689EDE" w:rsidR="00FB4CBC" w:rsidRDefault="00FB4CBC" w:rsidP="00FB4CBC">
      <w:pPr>
        <w:pStyle w:val="Heading4"/>
      </w:pPr>
      <w:r>
        <w:t>Co-</w:t>
      </w:r>
      <w:r w:rsidR="00536F23">
        <w:t>o</w:t>
      </w:r>
      <w:r>
        <w:t xml:space="preserve">ccurring </w:t>
      </w:r>
      <w:r w:rsidR="00F65B7C">
        <w:t>n</w:t>
      </w:r>
      <w:r>
        <w:t>eeds</w:t>
      </w:r>
    </w:p>
    <w:p w14:paraId="6C669009" w14:textId="77777777" w:rsidR="00FB4CBC" w:rsidRDefault="00FB4CBC" w:rsidP="00FB4CBC">
      <w:r>
        <w:t>Of the 384 clients with a first language other than English who accessed GenWest’s outreach support:</w:t>
      </w:r>
    </w:p>
    <w:p w14:paraId="35B09E29" w14:textId="77777777" w:rsidR="00FB4CBC" w:rsidRPr="00D308FD" w:rsidRDefault="00FB4CBC" w:rsidP="00717082">
      <w:pPr>
        <w:pStyle w:val="ListParagraph"/>
        <w:numPr>
          <w:ilvl w:val="0"/>
          <w:numId w:val="47"/>
        </w:numPr>
      </w:pPr>
      <w:r w:rsidRPr="00D308FD">
        <w:t>22.9% (n=88) reported risk of homelessness, which was 1.7 times higher than clients with English as their first language</w:t>
      </w:r>
    </w:p>
    <w:p w14:paraId="53B04C28" w14:textId="77777777" w:rsidR="00FB4CBC" w:rsidRPr="00D308FD" w:rsidRDefault="00FB4CBC" w:rsidP="00717082">
      <w:pPr>
        <w:pStyle w:val="ListParagraph"/>
        <w:numPr>
          <w:ilvl w:val="0"/>
          <w:numId w:val="47"/>
        </w:numPr>
      </w:pPr>
      <w:r w:rsidRPr="00D308FD">
        <w:t>29.7% (n=144) reported financial insecurity, which was 1.5 times higher than clients with English as their first language</w:t>
      </w:r>
    </w:p>
    <w:p w14:paraId="2D667C64" w14:textId="77777777" w:rsidR="00FB4CBC" w:rsidRPr="00D308FD" w:rsidRDefault="00FB4CBC" w:rsidP="00717082">
      <w:pPr>
        <w:pStyle w:val="ListParagraph"/>
        <w:numPr>
          <w:ilvl w:val="0"/>
          <w:numId w:val="47"/>
        </w:numPr>
      </w:pPr>
      <w:r w:rsidRPr="00D308FD">
        <w:t>21.1% (n=81) reported compromised mental health, which was about the same as clients with English as their first language.</w:t>
      </w:r>
    </w:p>
    <w:p w14:paraId="4FBEC458" w14:textId="76DF6038" w:rsidR="00FB4CBC" w:rsidRDefault="00FB4CBC" w:rsidP="00FB4CBC">
      <w:pPr>
        <w:pStyle w:val="Heading4"/>
      </w:pPr>
      <w:r>
        <w:t xml:space="preserve">Primary </w:t>
      </w:r>
      <w:r w:rsidR="00D308FD">
        <w:t>r</w:t>
      </w:r>
      <w:r>
        <w:t xml:space="preserve">easons for </w:t>
      </w:r>
      <w:r w:rsidR="00D308FD">
        <w:t>s</w:t>
      </w:r>
      <w:r>
        <w:t xml:space="preserve">eeking </w:t>
      </w:r>
      <w:r w:rsidR="00D308FD">
        <w:t>a</w:t>
      </w:r>
      <w:r>
        <w:t>ssistance</w:t>
      </w:r>
    </w:p>
    <w:p w14:paraId="647F50C3" w14:textId="77777777" w:rsidR="00FB4CBC" w:rsidRDefault="00FB4CBC" w:rsidP="00FB4CBC">
      <w:r>
        <w:t>Across all programs at GenWest, the most common reason for clients in this cohort to seek assistance was family violence (99.4%, n=1515). This is consistent with all other cohorts and is expected given GenWest</w:t>
      </w:r>
      <w:r w:rsidRPr="007224AA" w:rsidDel="007224AA">
        <w:t xml:space="preserve"> </w:t>
      </w:r>
      <w:r>
        <w:t>is a specialist family violence service.</w:t>
      </w:r>
    </w:p>
    <w:p w14:paraId="034A3F28" w14:textId="77777777" w:rsidR="00FB4CBC" w:rsidRDefault="00FB4CBC" w:rsidP="00FB4CBC">
      <w:r>
        <w:t>Notably, 3.2% (n=48) sought support for financial difficulties, as well as family violence assistance. This was 2.3 times higher than clients with English as their first language.</w:t>
      </w:r>
    </w:p>
    <w:p w14:paraId="52658DBD" w14:textId="77777777" w:rsidR="00FB4CBC" w:rsidRDefault="00FB4CBC" w:rsidP="00FB4CBC">
      <w:r>
        <w:t>The most common referral sources for clients with a first language other than English were similar to clients with English as their first language.</w:t>
      </w:r>
    </w:p>
    <w:p w14:paraId="1CFB6BF3" w14:textId="56A70A5C" w:rsidR="00FB4CBC" w:rsidRDefault="00FB4CBC" w:rsidP="00FB4CBC">
      <w:pPr>
        <w:pStyle w:val="Heading3"/>
      </w:pPr>
      <w:r>
        <w:t xml:space="preserve">First </w:t>
      </w:r>
      <w:r w:rsidR="00105C73">
        <w:t>N</w:t>
      </w:r>
      <w:r>
        <w:t xml:space="preserve">ations </w:t>
      </w:r>
      <w:r w:rsidR="00D308FD">
        <w:t>c</w:t>
      </w:r>
      <w:r>
        <w:t>lients</w:t>
      </w:r>
    </w:p>
    <w:p w14:paraId="7468FD0D" w14:textId="77777777" w:rsidR="00FB4CBC" w:rsidRDefault="00FB4CBC" w:rsidP="00FB4CBC">
      <w:r>
        <w:t>Across all programs, 3.6% (n=273) of clients identified as First Nations.</w:t>
      </w:r>
    </w:p>
    <w:p w14:paraId="7AC0C944" w14:textId="03276AF7" w:rsidR="00FB4CBC" w:rsidRDefault="00FB4CBC" w:rsidP="00FB4CBC">
      <w:pPr>
        <w:pStyle w:val="Heading4"/>
      </w:pPr>
      <w:r>
        <w:t>Co-</w:t>
      </w:r>
      <w:r w:rsidR="00A51E6E">
        <w:t>o</w:t>
      </w:r>
      <w:r>
        <w:t xml:space="preserve">ccurring </w:t>
      </w:r>
      <w:r w:rsidR="00A51E6E">
        <w:t>n</w:t>
      </w:r>
      <w:r>
        <w:t>eeds</w:t>
      </w:r>
    </w:p>
    <w:p w14:paraId="50F6251F" w14:textId="77777777" w:rsidR="00FB4CBC" w:rsidRDefault="00FB4CBC" w:rsidP="00FB4CBC">
      <w:r>
        <w:t>Of GenWest’s First Nations clients:</w:t>
      </w:r>
    </w:p>
    <w:p w14:paraId="0DFAF400" w14:textId="77777777" w:rsidR="00FB4CBC" w:rsidRPr="00A51E6E" w:rsidRDefault="00FB4CBC" w:rsidP="00717082">
      <w:pPr>
        <w:pStyle w:val="ListParagraph"/>
        <w:numPr>
          <w:ilvl w:val="0"/>
          <w:numId w:val="48"/>
        </w:numPr>
      </w:pPr>
      <w:r w:rsidRPr="00A51E6E">
        <w:t>15.0% (n=41) reported risk of homelessness, which was 1.5 times that of non-First Nations clients</w:t>
      </w:r>
    </w:p>
    <w:p w14:paraId="6F6F6064" w14:textId="77777777" w:rsidR="00FB4CBC" w:rsidRPr="00A51E6E" w:rsidRDefault="00FB4CBC" w:rsidP="00717082">
      <w:pPr>
        <w:pStyle w:val="ListParagraph"/>
        <w:numPr>
          <w:ilvl w:val="0"/>
          <w:numId w:val="48"/>
        </w:numPr>
      </w:pPr>
      <w:r w:rsidRPr="00A51E6E">
        <w:t>27.8% (n=76) reported financial insecurity, which was 2.3 times that of non-First Nations clients</w:t>
      </w:r>
    </w:p>
    <w:p w14:paraId="1ED1C59B" w14:textId="77777777" w:rsidR="00FB4CBC" w:rsidRPr="00A51E6E" w:rsidRDefault="00FB4CBC" w:rsidP="00717082">
      <w:pPr>
        <w:pStyle w:val="ListParagraph"/>
        <w:numPr>
          <w:ilvl w:val="0"/>
          <w:numId w:val="48"/>
        </w:numPr>
      </w:pPr>
      <w:r w:rsidRPr="00A51E6E">
        <w:t>17.6% (n=48) reported compromised mental health, which was 2.3 times that of non-First Nations clients.</w:t>
      </w:r>
    </w:p>
    <w:p w14:paraId="709686B9" w14:textId="3A793DED" w:rsidR="00FB4CBC" w:rsidRDefault="00FB4CBC" w:rsidP="00FB4CBC">
      <w:pPr>
        <w:pStyle w:val="Heading4"/>
      </w:pPr>
      <w:r>
        <w:t xml:space="preserve">Primary </w:t>
      </w:r>
      <w:r w:rsidR="00A51E6E">
        <w:t>r</w:t>
      </w:r>
      <w:r>
        <w:t xml:space="preserve">easons for </w:t>
      </w:r>
      <w:r w:rsidR="00307563">
        <w:t>s</w:t>
      </w:r>
      <w:r>
        <w:t xml:space="preserve">eeking </w:t>
      </w:r>
      <w:r w:rsidR="00307563">
        <w:t>a</w:t>
      </w:r>
      <w:r>
        <w:t>ssistance</w:t>
      </w:r>
    </w:p>
    <w:p w14:paraId="59BB68FB" w14:textId="77777777" w:rsidR="00FB4CBC" w:rsidRDefault="00FB4CBC" w:rsidP="00FB4CBC">
      <w:r>
        <w:t>Across all programs at GenWest, the most common reason for First Nations clients to seek assistance was family violence (100.0%, n=273). This is consistent with all other cohorts and is expected given GenWest</w:t>
      </w:r>
      <w:r w:rsidRPr="007224AA" w:rsidDel="007224AA">
        <w:t xml:space="preserve"> </w:t>
      </w:r>
      <w:r>
        <w:t>is a specialist family violence service.</w:t>
      </w:r>
    </w:p>
    <w:p w14:paraId="05B7561B" w14:textId="77777777" w:rsidR="00FB4CBC" w:rsidRDefault="00FB4CBC" w:rsidP="00FB4CBC">
      <w:r>
        <w:t>The most common referral sources for First Nations clients were similar to non-First Nations clients.</w:t>
      </w:r>
    </w:p>
    <w:p w14:paraId="656EF304" w14:textId="77777777" w:rsidR="00FB4CBC" w:rsidRDefault="00FB4CBC" w:rsidP="00FB4CBC">
      <w:pPr>
        <w:spacing w:line="259" w:lineRule="auto"/>
      </w:pPr>
      <w:r>
        <w:br w:type="page"/>
      </w:r>
    </w:p>
    <w:p w14:paraId="6C6DDCE8" w14:textId="5E00D221" w:rsidR="00FB4CBC" w:rsidRDefault="00FB4CBC" w:rsidP="00FB4CBC">
      <w:pPr>
        <w:pStyle w:val="Heading2"/>
      </w:pPr>
      <w:bookmarkStart w:id="32" w:name="_Toc95734888"/>
      <w:bookmarkStart w:id="33" w:name="_Toc98760938"/>
      <w:r>
        <w:t xml:space="preserve">Comparisons </w:t>
      </w:r>
      <w:r w:rsidR="00307563">
        <w:t>p</w:t>
      </w:r>
      <w:r>
        <w:t xml:space="preserve">rior to and </w:t>
      </w:r>
      <w:r w:rsidR="00307563">
        <w:t>d</w:t>
      </w:r>
      <w:r>
        <w:t>uring COVID-19</w:t>
      </w:r>
      <w:bookmarkEnd w:id="32"/>
      <w:bookmarkEnd w:id="33"/>
    </w:p>
    <w:p w14:paraId="4DC0A52B" w14:textId="77777777" w:rsidR="00FB4CBC" w:rsidRDefault="00FB4CBC" w:rsidP="00FB4CBC">
      <w:r>
        <w:t>The most significant negative impact from the pandemic related to clients’ mental health. During the period prior to COVID-19, 11.8% (n=121) of clients reported compromised mental health. During COVID-19, this increased by 143.7% to 28.8% (n=346).</w:t>
      </w:r>
    </w:p>
    <w:p w14:paraId="728D4A3F" w14:textId="77777777" w:rsidR="00FB4CBC" w:rsidRDefault="00FB4CBC" w:rsidP="00FB4CBC">
      <w:r>
        <w:t>Financial insecurity and homelessness were also predominant needs during the pandemic, although there tended to be more support available from federal and state governments. As a result of government support, the proportion of clients who reported financial insecurity reduced by 57.0%, from 65.9% (n=675) to 28.4% (n=341). Yet the proportion of clients who reported risk of homelessness increased by 22.6%, from 16.9% (n=173) to 20.7% (n=249).</w:t>
      </w:r>
    </w:p>
    <w:p w14:paraId="316634BF" w14:textId="77777777" w:rsidR="00FB4CBC" w:rsidRDefault="00FB4CBC" w:rsidP="00FB4CBC">
      <w:r>
        <w:t>There was minimal change to the average length of support (14.3 days) as a result of COVID-19. This is likely due to the length of support aligning with funding guidelines.</w:t>
      </w:r>
    </w:p>
    <w:p w14:paraId="39023F8E" w14:textId="77777777" w:rsidR="00FB4CBC" w:rsidRDefault="00FB4CBC" w:rsidP="00FB4CBC">
      <w:r>
        <w:t>The number of clients who accessed GenWest family violence services increased by 15.8%, from 8,061 prior to COVID-19 to 9,338 during COVID-19. This is consistent with the steady increase in demand (and funding) for family violence services, which the organisation has been observing over the last decade or so.</w:t>
      </w:r>
    </w:p>
    <w:p w14:paraId="264CFEF5" w14:textId="77777777" w:rsidR="00FB4CBC" w:rsidRDefault="00FB4CBC" w:rsidP="00FB4CBC">
      <w:r>
        <w:t>Compared with other means of referral, referrals from mental health services increased the most during COVID-19. Prior to COVID-19, 0.3% (n=43) of referrals were from mental health services, which increased by 125.7% to 0.7% (n=99) during COVID-19.</w:t>
      </w:r>
    </w:p>
    <w:p w14:paraId="72DDC4B5" w14:textId="62EB47FB" w:rsidR="00FB4CBC" w:rsidRDefault="00FB4CBC" w:rsidP="00FB4CBC">
      <w:pPr>
        <w:pStyle w:val="Heading3"/>
      </w:pPr>
      <w:r>
        <w:t>Co-</w:t>
      </w:r>
      <w:r w:rsidR="00307563">
        <w:t>o</w:t>
      </w:r>
      <w:r>
        <w:t xml:space="preserve">ccurring </w:t>
      </w:r>
      <w:r w:rsidR="00307563">
        <w:t>n</w:t>
      </w:r>
      <w:r>
        <w:t>eeds</w:t>
      </w:r>
    </w:p>
    <w:p w14:paraId="40D04D70" w14:textId="77777777" w:rsidR="00FB4CBC" w:rsidRDefault="00FB4CBC" w:rsidP="00FB4CBC">
      <w:r>
        <w:t>The most significant negative impact from the pandemic related to clients’ mental health. During the period prior to COVID-19, 11.8% (n=121) of clients who accessed GenWest’s outreach program reported compromised mental health. During COVID-19, this increased by 143.7% to 28.8% (n=346).</w:t>
      </w:r>
    </w:p>
    <w:p w14:paraId="12379AEE" w14:textId="77777777" w:rsidR="00FB4CBC" w:rsidRDefault="00FB4CBC" w:rsidP="00FB4CBC">
      <w:r>
        <w:t>The proportion of clients who reported financial insecurity reduced during COVID-19. During the period prior to COVID-19, 65.9% (n=675) of clients in the outreach program reported financial insecurity. During COVID-19, this reduced by 57.0% to 28.4% (n=341).</w:t>
      </w:r>
    </w:p>
    <w:p w14:paraId="7A3F5CBF" w14:textId="77777777" w:rsidR="00FB4CBC" w:rsidRDefault="00FB4CBC" w:rsidP="00FB4CBC">
      <w:r>
        <w:t xml:space="preserve">Throughout the pandemic, there was a range of additional financial support made available by governments. For example, GenWest received additional brokerage funding for needs related to COVID-19. During 2020, the cap on the amount of funds that could be provided per client was increased (although this was reduced in 2021). People were also permitted to access their superannuation early and there was a plateau in rental prices in Melbourne. Despite this, there was limited financial support from governments available for people on temporary visas and wait times to access Centrelink were longer than usual. </w:t>
      </w:r>
    </w:p>
    <w:p w14:paraId="29E39D19" w14:textId="3174F890" w:rsidR="00FB4CBC" w:rsidRDefault="00FB4CBC" w:rsidP="00FB4CBC">
      <w:r>
        <w:t>Housing remained a major concern for clients during COVID-19. During the period prior to COVID-19, 16.9% (n=173) of clients in GenWest’s outreach program reported risk of homelessness. During COVID-19, this increased by 22.6% to 20.7% (n=249). Additional short-term housing support was also made available by government during the pandemic. Without this support, there would have been a much higher increase in clients at risk of homelessness. Access to private rentals became more difficult than usual (e.g., with government restrictions on inspections).</w:t>
      </w:r>
    </w:p>
    <w:p w14:paraId="1C0E9EA0" w14:textId="77777777" w:rsidR="00FB4CBC" w:rsidRDefault="00FB4CBC" w:rsidP="00FB4CBC">
      <w:r>
        <w:t>As GenWest is a specialist family violence service, the main reason for seeking assistance was domestic and family violence. Prior to COVID-19, 99.5% (n=8012) of clients reported this and there was minimal change (0.01%) during COVID-19. This is outlined in the table below.</w:t>
      </w:r>
    </w:p>
    <w:p w14:paraId="51724B36" w14:textId="52E5B924" w:rsidR="00FB4CBC" w:rsidRDefault="00FB4CBC" w:rsidP="00FB4CBC">
      <w:pPr>
        <w:pStyle w:val="Heading3"/>
      </w:pPr>
      <w:r>
        <w:t xml:space="preserve">Length of </w:t>
      </w:r>
      <w:r w:rsidR="00265848">
        <w:t>s</w:t>
      </w:r>
      <w:r>
        <w:t>upport</w:t>
      </w:r>
    </w:p>
    <w:p w14:paraId="28BC3C26" w14:textId="77777777" w:rsidR="00FB4CBC" w:rsidRDefault="00FB4CBC" w:rsidP="00FB4CBC">
      <w:r>
        <w:t>There was minimal change to the average length of support (14.3 days) as a result of COVID-19. This is likely due to most of the support being provided in a single session (both prior to and during COVID-19) and the length of support aligning with funding guidelines, which also remained consistent during the two time periods.</w:t>
      </w:r>
    </w:p>
    <w:p w14:paraId="585C3600" w14:textId="77777777" w:rsidR="00FB4CBC" w:rsidRDefault="00FB4CBC" w:rsidP="00FB4CBC">
      <w:r>
        <w:t>The maximum length of support was 29.6% lower during COVID-19 (247 days) compared to the period prior to COVID-19 (351 days). As expected, the longest support periods – both prior to COVID-19 and during COVID-19 – were for clients accessing outreach case management support (noting that the refuge program is excluded from this calculation).</w:t>
      </w:r>
    </w:p>
    <w:p w14:paraId="649080AE" w14:textId="77777777" w:rsidR="00FB4CBC" w:rsidRDefault="00FB4CBC" w:rsidP="00FB4CBC">
      <w:r>
        <w:t>The number of clients who accessed GenWest</w:t>
      </w:r>
      <w:r w:rsidRPr="005B653E" w:rsidDel="005B653E">
        <w:t xml:space="preserve"> </w:t>
      </w:r>
      <w:r>
        <w:t>family violence services increased by 15.8%, from 8,061 (prior to COVID-19) to 9,338 (during COVID-19). This is consistent with the steady increase in demand and funding for family violence services over the last decade or so.</w:t>
      </w:r>
    </w:p>
    <w:p w14:paraId="4FABCCB6" w14:textId="4AA4CE80" w:rsidR="00FB4CBC" w:rsidRDefault="00FB4CBC" w:rsidP="00FB4CBC">
      <w:pPr>
        <w:pStyle w:val="Heading3"/>
      </w:pPr>
      <w:bookmarkStart w:id="34" w:name="_Types_of_support"/>
      <w:bookmarkEnd w:id="34"/>
      <w:r>
        <w:t xml:space="preserve">Types of </w:t>
      </w:r>
      <w:r w:rsidR="00265848">
        <w:t>s</w:t>
      </w:r>
      <w:r>
        <w:t>upport</w:t>
      </w:r>
    </w:p>
    <w:p w14:paraId="0CD93943" w14:textId="77777777" w:rsidR="00FB4CBC" w:rsidRDefault="00FB4CBC" w:rsidP="00FB4CBC">
      <w:r>
        <w:t>As GenWest is a specialist family violence service, the main support type that it records is assistance for domestic and family violence. 89.9% (n=7246) of clients sought this support prior to COVID-19 and there was minimal change during COVID-19. Legal assistance changed the most. 1.7% (n=136) sought this support prior to COVID-19, which increased by 55.1% during COVID-19 to 2.6% (n=205).</w:t>
      </w:r>
    </w:p>
    <w:p w14:paraId="22C5378D" w14:textId="755B7F71" w:rsidR="00AE7173" w:rsidRDefault="0065031F" w:rsidP="00AE7173">
      <w:r>
        <w:t xml:space="preserve">Between </w:t>
      </w:r>
      <w:r w:rsidR="00AE7173">
        <w:t xml:space="preserve">the two time periods this case study examines, </w:t>
      </w:r>
      <w:r>
        <w:t xml:space="preserve">GenWest recorded </w:t>
      </w:r>
      <w:r w:rsidR="00945549">
        <w:t xml:space="preserve">the </w:t>
      </w:r>
      <w:r>
        <w:t xml:space="preserve">following changes in the </w:t>
      </w:r>
      <w:r w:rsidR="00945549">
        <w:t xml:space="preserve">types of support sought by </w:t>
      </w:r>
      <w:r w:rsidR="00841305">
        <w:t>clients:</w:t>
      </w:r>
    </w:p>
    <w:p w14:paraId="2E602830" w14:textId="45BFF4EF" w:rsidR="0065031F" w:rsidRDefault="0065031F" w:rsidP="00717082">
      <w:pPr>
        <w:pStyle w:val="ListParagraph"/>
        <w:numPr>
          <w:ilvl w:val="0"/>
          <w:numId w:val="97"/>
        </w:numPr>
      </w:pPr>
      <w:r>
        <w:t>legal information increased by 55.1%, from 1.7% (n=136) to 2.6% (n=205)</w:t>
      </w:r>
    </w:p>
    <w:p w14:paraId="39F276E1" w14:textId="6D1E0955" w:rsidR="0065031F" w:rsidRDefault="0065031F" w:rsidP="00717082">
      <w:pPr>
        <w:pStyle w:val="ListParagraph"/>
        <w:numPr>
          <w:ilvl w:val="0"/>
          <w:numId w:val="97"/>
        </w:numPr>
      </w:pPr>
      <w:r>
        <w:t>other basic assistance increased by 28.5%, from 16.3% (n=1315) to 21.0% (n=1642)</w:t>
      </w:r>
    </w:p>
    <w:p w14:paraId="25C76D7B" w14:textId="2C5B03F8" w:rsidR="0065031F" w:rsidRDefault="0065031F" w:rsidP="00717082">
      <w:pPr>
        <w:pStyle w:val="ListParagraph"/>
        <w:numPr>
          <w:ilvl w:val="0"/>
          <w:numId w:val="97"/>
        </w:numPr>
      </w:pPr>
      <w:r>
        <w:t>material aid or brokerage increased by 20.9%, from 8.7% (n=703) to 10.6% (n=826)</w:t>
      </w:r>
    </w:p>
    <w:p w14:paraId="6EBFD60E" w14:textId="75AD31BD" w:rsidR="0065031F" w:rsidRDefault="0065031F" w:rsidP="00717082">
      <w:pPr>
        <w:pStyle w:val="ListParagraph"/>
        <w:numPr>
          <w:ilvl w:val="0"/>
          <w:numId w:val="97"/>
        </w:numPr>
      </w:pPr>
      <w:r>
        <w:t>assistance for trauma increased by 11.9%, from 0.3% (n=23) to 0.3% (n=25)</w:t>
      </w:r>
    </w:p>
    <w:p w14:paraId="5083D723" w14:textId="5B14736C" w:rsidR="0065031F" w:rsidRDefault="0065031F" w:rsidP="00717082">
      <w:pPr>
        <w:pStyle w:val="ListParagraph"/>
        <w:numPr>
          <w:ilvl w:val="0"/>
          <w:numId w:val="97"/>
        </w:numPr>
      </w:pPr>
      <w:r>
        <w:t>medium-term or transitional housing increased by 11.6%, from 1.5% (n=119) to 1.7% (n=129)</w:t>
      </w:r>
    </w:p>
    <w:p w14:paraId="6CE143E3" w14:textId="28836D4A" w:rsidR="0065031F" w:rsidRDefault="0065031F" w:rsidP="00717082">
      <w:pPr>
        <w:pStyle w:val="ListParagraph"/>
        <w:numPr>
          <w:ilvl w:val="0"/>
          <w:numId w:val="97"/>
        </w:numPr>
      </w:pPr>
      <w:r>
        <w:t>advocacy or liaison on behalf of client increased by 7.2%, from 14.3% (n=1151) to 15.3% (n=1199)</w:t>
      </w:r>
    </w:p>
    <w:p w14:paraId="18F64411" w14:textId="6A63DEB6" w:rsidR="0065031F" w:rsidRDefault="0065031F" w:rsidP="00717082">
      <w:pPr>
        <w:pStyle w:val="ListParagraph"/>
        <w:numPr>
          <w:ilvl w:val="0"/>
          <w:numId w:val="97"/>
        </w:numPr>
      </w:pPr>
      <w:r>
        <w:t>advice or information increased by 4.2%, from 78.1% (n=6297) to 81.4% (n=6376)</w:t>
      </w:r>
    </w:p>
    <w:p w14:paraId="3A9E0988" w14:textId="78DD9978" w:rsidR="0065031F" w:rsidRDefault="0065031F" w:rsidP="00717082">
      <w:pPr>
        <w:pStyle w:val="ListParagraph"/>
        <w:numPr>
          <w:ilvl w:val="0"/>
          <w:numId w:val="97"/>
        </w:numPr>
      </w:pPr>
      <w:r>
        <w:t>assistance for domestic or family violence decreased by 0.6%, from 89.9% (n=7246) to 89.3% (n=6997)</w:t>
      </w:r>
    </w:p>
    <w:p w14:paraId="5BE07993" w14:textId="7B058C26" w:rsidR="0065031F" w:rsidRDefault="0065031F" w:rsidP="00717082">
      <w:pPr>
        <w:pStyle w:val="ListParagraph"/>
        <w:numPr>
          <w:ilvl w:val="0"/>
          <w:numId w:val="97"/>
        </w:numPr>
      </w:pPr>
      <w:r>
        <w:t>financial information decreased by 4.9%, from 1.5% (n=119) to 1.4% (n=110)</w:t>
      </w:r>
    </w:p>
    <w:p w14:paraId="4DA4EE11" w14:textId="53CAB6B3" w:rsidR="0065031F" w:rsidRDefault="0065031F" w:rsidP="00717082">
      <w:pPr>
        <w:pStyle w:val="ListParagraph"/>
        <w:numPr>
          <w:ilvl w:val="0"/>
          <w:numId w:val="97"/>
        </w:numPr>
      </w:pPr>
      <w:r>
        <w:t>court support decreased by 14.4%, from 6.6% (n=528) to 5.6% (n=439)</w:t>
      </w:r>
    </w:p>
    <w:p w14:paraId="4B4DF112" w14:textId="6C1209F9" w:rsidR="0065031F" w:rsidRDefault="0065031F" w:rsidP="00717082">
      <w:pPr>
        <w:pStyle w:val="ListParagraph"/>
        <w:numPr>
          <w:ilvl w:val="0"/>
          <w:numId w:val="97"/>
        </w:numPr>
      </w:pPr>
      <w:r>
        <w:t>short-term or emergency accommodation decreased by 43.8%, from 1.6% (n=130) to 0.9% (n=71)</w:t>
      </w:r>
    </w:p>
    <w:p w14:paraId="082612CA" w14:textId="0950B019" w:rsidR="0065031F" w:rsidRDefault="0065031F" w:rsidP="00717082">
      <w:pPr>
        <w:pStyle w:val="ListParagraph"/>
        <w:numPr>
          <w:ilvl w:val="0"/>
          <w:numId w:val="97"/>
        </w:numPr>
      </w:pPr>
      <w:r>
        <w:t>family or relationship assistance decreased by 79.8%, from 2.6% (n=209) to 0.5% (n=41)</w:t>
      </w:r>
    </w:p>
    <w:p w14:paraId="1B77A25E" w14:textId="1651C8EC" w:rsidR="0065031F" w:rsidRDefault="0065031F" w:rsidP="00717082">
      <w:pPr>
        <w:pStyle w:val="ListParagraph"/>
        <w:numPr>
          <w:ilvl w:val="0"/>
          <w:numId w:val="97"/>
        </w:numPr>
      </w:pPr>
      <w:r>
        <w:t>assistance for incest or sexual assault decreased by 95.8%, from 1.5% (n=123) to 0.1% (n=5).</w:t>
      </w:r>
    </w:p>
    <w:p w14:paraId="3227844B" w14:textId="73265609" w:rsidR="00FB4CBC" w:rsidRDefault="00FB4CBC" w:rsidP="00FB4CBC">
      <w:pPr>
        <w:pStyle w:val="Heading3"/>
      </w:pPr>
      <w:r>
        <w:t xml:space="preserve">Referral </w:t>
      </w:r>
      <w:r w:rsidR="00265848">
        <w:t>s</w:t>
      </w:r>
      <w:r>
        <w:t>ources</w:t>
      </w:r>
    </w:p>
    <w:p w14:paraId="3E5664EA" w14:textId="77777777" w:rsidR="0065031F" w:rsidRDefault="00FB4CBC" w:rsidP="00FB4CBC">
      <w:r>
        <w:t>Compared to referrals from other means, referrals from mental health services increased the most during COVID-19, although the overall number is low. Prior to COVID-19, 0.3% (n=43) of referrals were from mental health services, which increased by 125.7% to 0.7% (n=99) during COVID-19. Referrals from hospitals and other health services also increased by 108.5%, from 0.7% (n=95) prior to COVID-19 to 1.5% (n=202) during COVID-19.</w:t>
      </w:r>
    </w:p>
    <w:p w14:paraId="310AF49C" w14:textId="4A1FFC09" w:rsidR="00FB4CBC" w:rsidRDefault="00E6601F" w:rsidP="00FB4CBC">
      <w:r>
        <w:t>GenWest also recorded o</w:t>
      </w:r>
      <w:r w:rsidR="0065031F">
        <w:t xml:space="preserve">ther changes in </w:t>
      </w:r>
      <w:r>
        <w:t xml:space="preserve">sources of </w:t>
      </w:r>
      <w:r w:rsidR="0065031F">
        <w:t>incoming referral</w:t>
      </w:r>
      <w:r>
        <w:t>s between the two time periods examined in this case study:</w:t>
      </w:r>
    </w:p>
    <w:p w14:paraId="532AFE7B" w14:textId="0B18757E" w:rsidR="00E6601F" w:rsidRDefault="00E6601F" w:rsidP="00717082">
      <w:pPr>
        <w:pStyle w:val="ListParagraph"/>
        <w:numPr>
          <w:ilvl w:val="0"/>
          <w:numId w:val="107"/>
        </w:numPr>
      </w:pPr>
      <w:r>
        <w:t>referrals from AOD services increased by 102.2%, from 0.1% of all referral services (n=16) to 0.2% of all referral sources (n=33)</w:t>
      </w:r>
    </w:p>
    <w:p w14:paraId="17A415FD" w14:textId="34B2B65E" w:rsidR="00E6601F" w:rsidRDefault="00E6601F" w:rsidP="00717082">
      <w:pPr>
        <w:pStyle w:val="ListParagraph"/>
        <w:numPr>
          <w:ilvl w:val="0"/>
          <w:numId w:val="107"/>
        </w:numPr>
      </w:pPr>
      <w:r>
        <w:t>referrals from family and child support agencies increased by 79.4%, from 0.8% (n=106) to 1.4% (n=194)</w:t>
      </w:r>
    </w:p>
    <w:p w14:paraId="610C28FA" w14:textId="382202E4" w:rsidR="00E6601F" w:rsidRDefault="00E6601F" w:rsidP="00717082">
      <w:pPr>
        <w:pStyle w:val="ListParagraph"/>
        <w:numPr>
          <w:ilvl w:val="0"/>
          <w:numId w:val="107"/>
        </w:numPr>
      </w:pPr>
      <w:r>
        <w:t>referrals from family and/or friends increased by 54.1%, from 0.2% (n=21) to 0.2% (n=33)</w:t>
      </w:r>
    </w:p>
    <w:p w14:paraId="2A8CD98F" w14:textId="36D0632E" w:rsidR="00E6601F" w:rsidRDefault="00E6601F" w:rsidP="00717082">
      <w:pPr>
        <w:pStyle w:val="ListParagraph"/>
        <w:numPr>
          <w:ilvl w:val="0"/>
          <w:numId w:val="107"/>
        </w:numPr>
      </w:pPr>
      <w:r>
        <w:t>referrals from Child Protection increased by 37.7%, from 1.0% (n=131) to 1.4% (n=184)</w:t>
      </w:r>
    </w:p>
    <w:p w14:paraId="78831B83" w14:textId="5AA0F935" w:rsidR="00E6601F" w:rsidRDefault="00E6601F" w:rsidP="00717082">
      <w:pPr>
        <w:pStyle w:val="ListParagraph"/>
        <w:numPr>
          <w:ilvl w:val="0"/>
          <w:numId w:val="107"/>
        </w:numPr>
      </w:pPr>
      <w:r>
        <w:t>referrals from telephone or crisis referral agencies increased by 35.7%, from 3.3% (n=435) to 4.4% (n=602)</w:t>
      </w:r>
    </w:p>
    <w:p w14:paraId="58C36541" w14:textId="21F008C0" w:rsidR="00E6601F" w:rsidRDefault="00E6601F" w:rsidP="00717082">
      <w:pPr>
        <w:pStyle w:val="ListParagraph"/>
        <w:numPr>
          <w:ilvl w:val="0"/>
          <w:numId w:val="107"/>
        </w:numPr>
      </w:pPr>
      <w:r>
        <w:t>referrals from schools or other education institutions decreased by 10.1%, from 0.2% (n=24) to 0.2% (n=22)</w:t>
      </w:r>
    </w:p>
    <w:p w14:paraId="5B104168" w14:textId="25417D7E" w:rsidR="00E6601F" w:rsidRDefault="00E6601F" w:rsidP="00717082">
      <w:pPr>
        <w:pStyle w:val="ListParagraph"/>
        <w:numPr>
          <w:ilvl w:val="0"/>
          <w:numId w:val="107"/>
        </w:numPr>
      </w:pPr>
      <w:r>
        <w:t>referrals from specialist homelessness agencies or outreach workers decreased by 15.8%, from 5.8% (n=775) to 4.9% (n=666)</w:t>
      </w:r>
    </w:p>
    <w:p w14:paraId="19AA27F9" w14:textId="349E9DB9" w:rsidR="00E6601F" w:rsidRDefault="00E6601F" w:rsidP="00717082">
      <w:pPr>
        <w:pStyle w:val="ListParagraph"/>
        <w:numPr>
          <w:ilvl w:val="0"/>
          <w:numId w:val="107"/>
        </w:numPr>
      </w:pPr>
      <w:r>
        <w:t>referrals from police decreased by 28.9%, from 53.2% (n=7130) to 37.9% (n=5174)</w:t>
      </w:r>
    </w:p>
    <w:p w14:paraId="2FCC323B" w14:textId="6587D7B9" w:rsidR="00E6601F" w:rsidRDefault="00E6601F" w:rsidP="00717082">
      <w:pPr>
        <w:pStyle w:val="ListParagraph"/>
        <w:numPr>
          <w:ilvl w:val="0"/>
          <w:numId w:val="107"/>
        </w:numPr>
      </w:pPr>
      <w:r>
        <w:t>referrals from legal units (including Legal Aid) decreased by 40.3%, from 0.3% (n=46) to 0.2% (n=28).</w:t>
      </w:r>
    </w:p>
    <w:p w14:paraId="1EBF7453" w14:textId="2F799C75" w:rsidR="00E6601F" w:rsidRDefault="00E6601F" w:rsidP="00717082">
      <w:pPr>
        <w:pStyle w:val="ListParagraph"/>
        <w:numPr>
          <w:ilvl w:val="0"/>
          <w:numId w:val="107"/>
        </w:numPr>
      </w:pPr>
      <w:r>
        <w:t>referrals from courts decreased by 51.0%, from 1.5% (n=200) to 0.7% (n=100)</w:t>
      </w:r>
    </w:p>
    <w:p w14:paraId="6773F012" w14:textId="1191F2C3" w:rsidR="00E6601F" w:rsidRDefault="00E6601F" w:rsidP="00717082">
      <w:pPr>
        <w:pStyle w:val="ListParagraph"/>
        <w:numPr>
          <w:ilvl w:val="0"/>
          <w:numId w:val="107"/>
        </w:numPr>
      </w:pPr>
      <w:r>
        <w:t xml:space="preserve">referrals from other agencies (government or non-government) decreased by 69.6%, from </w:t>
      </w:r>
      <w:r w:rsidRPr="00E6601F">
        <w:t>4.5% (n=597)</w:t>
      </w:r>
      <w:r>
        <w:t xml:space="preserve"> to </w:t>
      </w:r>
      <w:r w:rsidRPr="00E6601F">
        <w:t>1.4% (n=185)</w:t>
      </w:r>
    </w:p>
    <w:p w14:paraId="2029D540" w14:textId="654A99C9" w:rsidR="00E6601F" w:rsidRDefault="00E6601F" w:rsidP="00717082">
      <w:pPr>
        <w:pStyle w:val="ListParagraph"/>
        <w:numPr>
          <w:ilvl w:val="0"/>
          <w:numId w:val="107"/>
        </w:numPr>
      </w:pPr>
      <w:r>
        <w:t xml:space="preserve">referrals from other sources increased by 123.8%, from </w:t>
      </w:r>
      <w:r w:rsidRPr="00E6601F">
        <w:t>4.5% (n=598)</w:t>
      </w:r>
      <w:r>
        <w:t xml:space="preserve"> to </w:t>
      </w:r>
      <w:r w:rsidRPr="00E6601F">
        <w:t>10.0% (n=1365)</w:t>
      </w:r>
    </w:p>
    <w:p w14:paraId="79FA9A71" w14:textId="6B659D18" w:rsidR="00E6601F" w:rsidRDefault="00E6601F" w:rsidP="00717082">
      <w:pPr>
        <w:pStyle w:val="ListParagraph"/>
        <w:numPr>
          <w:ilvl w:val="0"/>
          <w:numId w:val="107"/>
        </w:numPr>
      </w:pPr>
      <w:r>
        <w:t xml:space="preserve">referrals where the source is not known decreased by 94.2%, from </w:t>
      </w:r>
      <w:r w:rsidRPr="00E6601F">
        <w:t>7.1% (n=955)</w:t>
      </w:r>
      <w:r>
        <w:t xml:space="preserve"> to </w:t>
      </w:r>
      <w:r w:rsidRPr="00E6601F">
        <w:t>0.4% (n=57)</w:t>
      </w:r>
    </w:p>
    <w:p w14:paraId="49E656AE" w14:textId="29DEF7EB" w:rsidR="00E6601F" w:rsidRDefault="00E6601F" w:rsidP="00717082">
      <w:pPr>
        <w:pStyle w:val="ListParagraph"/>
        <w:numPr>
          <w:ilvl w:val="0"/>
          <w:numId w:val="107"/>
        </w:numPr>
      </w:pPr>
      <w:r>
        <w:t xml:space="preserve">self-referrals or clients with no formal referral increased by 63.2%, from </w:t>
      </w:r>
      <w:r w:rsidRPr="00E6601F">
        <w:t>15.9% (n=2125)</w:t>
      </w:r>
      <w:r>
        <w:t xml:space="preserve"> to </w:t>
      </w:r>
      <w:r w:rsidRPr="00E6601F">
        <w:t>25.9% (n=3537)</w:t>
      </w:r>
      <w:r>
        <w:t>.</w:t>
      </w:r>
    </w:p>
    <w:p w14:paraId="3CADB222" w14:textId="7382A798" w:rsidR="002E4B42" w:rsidRDefault="002E4B42" w:rsidP="00E6601F">
      <w:r>
        <w:t xml:space="preserve">In total, there were </w:t>
      </w:r>
      <w:r w:rsidRPr="002E4B42">
        <w:t>13</w:t>
      </w:r>
      <w:r>
        <w:t>,</w:t>
      </w:r>
      <w:r w:rsidRPr="002E4B42">
        <w:t>395</w:t>
      </w:r>
      <w:r>
        <w:t xml:space="preserve"> incoming referrals in the period prior to COVID-19, and </w:t>
      </w:r>
      <w:r w:rsidRPr="002E4B42">
        <w:t>13</w:t>
      </w:r>
      <w:r>
        <w:t>,</w:t>
      </w:r>
      <w:r w:rsidRPr="002E4B42">
        <w:t>663</w:t>
      </w:r>
      <w:r>
        <w:t xml:space="preserve"> in the period during COVID-19.</w:t>
      </w:r>
    </w:p>
    <w:p w14:paraId="2471D713" w14:textId="0BE02645" w:rsidR="00FB4CBC" w:rsidRDefault="00E6601F" w:rsidP="00FB4CBC">
      <w:r>
        <w:t>Referrals categorised as being from a non-SHS family and domestic violence service changed from 0.4% (n=55) to 8.0% (n=1086). This change is not included in the above list as this category was introduced towards the end of the period prior to COVID-19. It is mainly used for referrals from Safe Steps.</w:t>
      </w:r>
    </w:p>
    <w:p w14:paraId="20C13D22" w14:textId="77777777" w:rsidR="002E4B42" w:rsidRDefault="002E4B42" w:rsidP="002E4B42">
      <w:r>
        <w:t>The above figures only include referrals that resulted in the client receiving support. Some referrals, mainly from police, are closed because the client does not want support or cannot be reached. This explains why it appears that the number of referrals from police has reduced, when they have in fact increased each year.</w:t>
      </w:r>
    </w:p>
    <w:p w14:paraId="55772E6E" w14:textId="7B50ED1F" w:rsidR="00FB4CBC" w:rsidRDefault="00FB4CBC" w:rsidP="00FB4CBC">
      <w:r>
        <w:t>Sources with low numbers of referrals are excluded from the</w:t>
      </w:r>
      <w:r w:rsidR="002E4B42">
        <w:t>se figures</w:t>
      </w:r>
      <w:r>
        <w:t>, so the total</w:t>
      </w:r>
      <w:r w:rsidR="002E4B42">
        <w:t xml:space="preserve"> number of referrals</w:t>
      </w:r>
      <w:r>
        <w:t xml:space="preserve"> are higher than what is included in the </w:t>
      </w:r>
      <w:r w:rsidR="002E4B42">
        <w:t>list</w:t>
      </w:r>
      <w:r>
        <w:t>.</w:t>
      </w:r>
    </w:p>
    <w:p w14:paraId="583D0821" w14:textId="6AB6DEC3" w:rsidR="00FB4CBC" w:rsidRDefault="00FB4CBC" w:rsidP="00FB4CBC">
      <w:pPr>
        <w:pStyle w:val="Heading3"/>
      </w:pPr>
      <w:r>
        <w:t xml:space="preserve">External </w:t>
      </w:r>
      <w:r w:rsidR="003E46C3">
        <w:t>r</w:t>
      </w:r>
      <w:r>
        <w:t>eferrals</w:t>
      </w:r>
    </w:p>
    <w:p w14:paraId="386DAF7B" w14:textId="77777777" w:rsidR="00FB4CBC" w:rsidRDefault="00FB4CBC" w:rsidP="00FB4CBC">
      <w:r>
        <w:t>Assistance for family and domestic violence increased the most, by 103.9%, from 34.6% (n=252) to 70.5% (n=1029). Advocacy or liaison on behalf of client reduced the most, by 91.4%, from 4.8% (n=35) to 0.4% (n=6).</w:t>
      </w:r>
    </w:p>
    <w:p w14:paraId="4E3D6BFC" w14:textId="77777777" w:rsidR="002E4B42" w:rsidRDefault="002E4B42" w:rsidP="002E4B42">
      <w:r>
        <w:t xml:space="preserve">Between </w:t>
      </w:r>
      <w:r w:rsidR="00F8294A">
        <w:t>the two time periods this case study examines, G</w:t>
      </w:r>
      <w:r w:rsidR="00803202">
        <w:t xml:space="preserve">enWest </w:t>
      </w:r>
      <w:r>
        <w:t xml:space="preserve">recorded the following changes in the </w:t>
      </w:r>
      <w:r w:rsidR="00803202">
        <w:t>types of external referrals</w:t>
      </w:r>
      <w:r>
        <w:t xml:space="preserve"> it made:</w:t>
      </w:r>
    </w:p>
    <w:p w14:paraId="49CB7809" w14:textId="59AF4D6A" w:rsidR="007A767D" w:rsidRDefault="002E4B42" w:rsidP="00717082">
      <w:pPr>
        <w:pStyle w:val="ListParagraph"/>
        <w:numPr>
          <w:ilvl w:val="0"/>
          <w:numId w:val="92"/>
        </w:numPr>
      </w:pPr>
      <w:r>
        <w:t xml:space="preserve">clients referred for </w:t>
      </w:r>
      <w:r w:rsidRPr="00E27C92">
        <w:t xml:space="preserve">assistance for </w:t>
      </w:r>
      <w:r>
        <w:t xml:space="preserve">domestic or </w:t>
      </w:r>
      <w:r w:rsidRPr="00E27C92">
        <w:t>family</w:t>
      </w:r>
      <w:r>
        <w:t xml:space="preserve"> </w:t>
      </w:r>
      <w:r w:rsidRPr="00E27C92">
        <w:t>violence</w:t>
      </w:r>
      <w:r>
        <w:t xml:space="preserve"> increased by 103.9%, from 34.6% of </w:t>
      </w:r>
      <w:r w:rsidR="003905E2">
        <w:t xml:space="preserve">clients </w:t>
      </w:r>
      <w:r>
        <w:t>referr</w:t>
      </w:r>
      <w:r w:rsidR="003905E2">
        <w:t>ed</w:t>
      </w:r>
      <w:r>
        <w:t xml:space="preserve"> (n=252) to 70.5% of </w:t>
      </w:r>
      <w:r w:rsidR="003905E2">
        <w:t>clients referred</w:t>
      </w:r>
      <w:r>
        <w:t xml:space="preserve"> (n=1029)</w:t>
      </w:r>
    </w:p>
    <w:p w14:paraId="3368D8A6" w14:textId="2C2AAE0A" w:rsidR="002E4B42" w:rsidRDefault="002E4B42" w:rsidP="00717082">
      <w:pPr>
        <w:pStyle w:val="ListParagraph"/>
        <w:numPr>
          <w:ilvl w:val="0"/>
          <w:numId w:val="92"/>
        </w:numPr>
      </w:pPr>
      <w:r>
        <w:t>clients referred for short-term or emergency accommodation increased by 53.4%, from 1.9% (n=14) to 3.0% (n=43)</w:t>
      </w:r>
    </w:p>
    <w:p w14:paraId="4A2FAC9D" w14:textId="22F3C34F" w:rsidR="002E4B42" w:rsidRDefault="002E4B42" w:rsidP="00717082">
      <w:pPr>
        <w:pStyle w:val="ListParagraph"/>
        <w:numPr>
          <w:ilvl w:val="0"/>
          <w:numId w:val="92"/>
        </w:numPr>
      </w:pPr>
      <w:r>
        <w:t>clients referred for advice or information decreased by 18.9%, from 4.4% (n=32) to 3.6% (n=52)</w:t>
      </w:r>
    </w:p>
    <w:p w14:paraId="4AB059CD" w14:textId="2D3F834F" w:rsidR="002E4B42" w:rsidRDefault="002E4B42" w:rsidP="00717082">
      <w:pPr>
        <w:pStyle w:val="ListParagraph"/>
        <w:numPr>
          <w:ilvl w:val="0"/>
          <w:numId w:val="92"/>
        </w:numPr>
      </w:pPr>
      <w:r>
        <w:t>clients referred for child specific specialist counselling services decreased by 45.7%, from 3.2% (n=23) to 1.7% (n=25)</w:t>
      </w:r>
    </w:p>
    <w:p w14:paraId="155BB4D0" w14:textId="14226033" w:rsidR="002E4B42" w:rsidRDefault="002E4B42" w:rsidP="00717082">
      <w:pPr>
        <w:pStyle w:val="ListParagraph"/>
        <w:numPr>
          <w:ilvl w:val="0"/>
          <w:numId w:val="92"/>
        </w:numPr>
      </w:pPr>
      <w:r>
        <w:t>clients referred for material aid or brokerage decreased by 52.7%, from 13.0% (n=95) to 6.2% (n=90)</w:t>
      </w:r>
    </w:p>
    <w:p w14:paraId="4841C304" w14:textId="1F92BA9C" w:rsidR="002E4B42" w:rsidRDefault="002E4B42" w:rsidP="00717082">
      <w:pPr>
        <w:pStyle w:val="ListParagraph"/>
        <w:numPr>
          <w:ilvl w:val="0"/>
          <w:numId w:val="92"/>
        </w:numPr>
      </w:pPr>
      <w:r>
        <w:t>clients referred for long-term housing decreased by 53.2%, from 2.2% (n=16) to 1.0% (n=15)</w:t>
      </w:r>
    </w:p>
    <w:p w14:paraId="2D9BEDF6" w14:textId="00C47DA2" w:rsidR="002E4B42" w:rsidRDefault="002E4B42" w:rsidP="00717082">
      <w:pPr>
        <w:pStyle w:val="ListParagraph"/>
        <w:numPr>
          <w:ilvl w:val="0"/>
          <w:numId w:val="92"/>
        </w:numPr>
      </w:pPr>
      <w:r>
        <w:t>clients referred for legal information decreased by 58.4%, from 8.2% (n=60) to 3.4% (n=50)</w:t>
      </w:r>
    </w:p>
    <w:p w14:paraId="121761F2" w14:textId="593815EE" w:rsidR="002E4B42" w:rsidRDefault="002E4B42" w:rsidP="00717082">
      <w:pPr>
        <w:pStyle w:val="ListParagraph"/>
        <w:numPr>
          <w:ilvl w:val="0"/>
          <w:numId w:val="92"/>
        </w:numPr>
      </w:pPr>
      <w:r>
        <w:t>clients referred for financial information decreased by 62.6%, from 2.7% (n=20) to 1.0% (n=15)</w:t>
      </w:r>
    </w:p>
    <w:p w14:paraId="22B4B30A" w14:textId="1F693ABC" w:rsidR="002E4B42" w:rsidRDefault="002E4B42" w:rsidP="00717082">
      <w:pPr>
        <w:pStyle w:val="ListParagraph"/>
        <w:numPr>
          <w:ilvl w:val="0"/>
          <w:numId w:val="92"/>
        </w:numPr>
      </w:pPr>
      <w:r>
        <w:t>clients referred for assistance to obtain or maintain government allowance decreased by 69.3%, from 1.8% (n=13) to 0.6% (n=8)</w:t>
      </w:r>
    </w:p>
    <w:p w14:paraId="253662AA" w14:textId="287A7E2B" w:rsidR="002E4B42" w:rsidRDefault="002E4B42" w:rsidP="00717082">
      <w:pPr>
        <w:pStyle w:val="ListParagraph"/>
        <w:numPr>
          <w:ilvl w:val="0"/>
          <w:numId w:val="92"/>
        </w:numPr>
      </w:pPr>
      <w:r>
        <w:t>clients referred for specialist counselling services decreased by 75.0%, from 2.7% (n=20) to 0.7% (n=10)</w:t>
      </w:r>
    </w:p>
    <w:p w14:paraId="5956DCFC" w14:textId="3E6A9F09" w:rsidR="002E4B42" w:rsidRDefault="002E4B42" w:rsidP="00717082">
      <w:pPr>
        <w:pStyle w:val="ListParagraph"/>
        <w:numPr>
          <w:ilvl w:val="0"/>
          <w:numId w:val="92"/>
        </w:numPr>
      </w:pPr>
      <w:r>
        <w:t>clients referred for interpreter services decreased by 82.5%, from 2.7% (n=20) to 0.5% (n=7)</w:t>
      </w:r>
    </w:p>
    <w:p w14:paraId="0DC980A8" w14:textId="1B483ABB" w:rsidR="002E4B42" w:rsidRDefault="002E4B42" w:rsidP="00717082">
      <w:pPr>
        <w:pStyle w:val="ListParagraph"/>
        <w:numPr>
          <w:ilvl w:val="0"/>
          <w:numId w:val="92"/>
        </w:numPr>
      </w:pPr>
      <w:r>
        <w:t>clients referred for court support decreased by 83.4%, from 4.1% (n=30) to 0.7% (n=10)</w:t>
      </w:r>
    </w:p>
    <w:p w14:paraId="7D4EB4B9" w14:textId="1A3FB611" w:rsidR="00F41FC4" w:rsidRDefault="002E4B42" w:rsidP="00717082">
      <w:pPr>
        <w:pStyle w:val="ListParagraph"/>
        <w:numPr>
          <w:ilvl w:val="0"/>
          <w:numId w:val="92"/>
        </w:numPr>
      </w:pPr>
      <w:r>
        <w:t>clients referred for advocacy or liaison on behalf of client/s decreased by 91.4%, from 4.8% (n=35) to 0.4% (n=6).</w:t>
      </w:r>
    </w:p>
    <w:p w14:paraId="17DA353C" w14:textId="359D05DE" w:rsidR="003958FE" w:rsidRDefault="00D631D7" w:rsidP="00FB4CBC">
      <w:r>
        <w:t xml:space="preserve">In total, </w:t>
      </w:r>
      <w:r w:rsidR="002E4B42">
        <w:t xml:space="preserve">GenWest referred </w:t>
      </w:r>
      <w:r>
        <w:t xml:space="preserve">729 </w:t>
      </w:r>
      <w:r w:rsidR="002E4B42">
        <w:t xml:space="preserve">clients </w:t>
      </w:r>
      <w:r w:rsidR="001A1B16">
        <w:t>in the period prior to COVID-19 and 1</w:t>
      </w:r>
      <w:r w:rsidR="002E4B42">
        <w:t>,</w:t>
      </w:r>
      <w:r w:rsidR="001A1B16">
        <w:t xml:space="preserve">460 </w:t>
      </w:r>
      <w:r w:rsidR="002E4B42">
        <w:t xml:space="preserve">clients </w:t>
      </w:r>
      <w:r w:rsidR="001A1B16">
        <w:t xml:space="preserve">in the period during COVID-19. </w:t>
      </w:r>
    </w:p>
    <w:p w14:paraId="58826F56" w14:textId="730594E2" w:rsidR="00FB4CBC" w:rsidRDefault="00FB4CBC" w:rsidP="00FB4CBC">
      <w:r>
        <w:t xml:space="preserve">The above </w:t>
      </w:r>
      <w:r w:rsidR="002E4B42">
        <w:t xml:space="preserve">figures are for </w:t>
      </w:r>
      <w:r>
        <w:t xml:space="preserve">the most common types of referrals made to other organisations. The </w:t>
      </w:r>
      <w:r w:rsidR="00CE4FBC">
        <w:t>list</w:t>
      </w:r>
      <w:r>
        <w:t xml:space="preserve"> shows the number of clients who were referred, </w:t>
      </w:r>
      <w:r w:rsidRPr="00B56832">
        <w:rPr>
          <w:i/>
        </w:rPr>
        <w:t>not</w:t>
      </w:r>
      <w:r>
        <w:t xml:space="preserve"> the number of referrals. Referral types with low numbers are excluded from the </w:t>
      </w:r>
      <w:r w:rsidR="00383160">
        <w:t xml:space="preserve">list. </w:t>
      </w:r>
    </w:p>
    <w:p w14:paraId="1EF61CE5" w14:textId="77777777" w:rsidR="00FB4CBC" w:rsidRDefault="00FB4CBC" w:rsidP="00FB4CBC">
      <w:pPr>
        <w:spacing w:line="259" w:lineRule="auto"/>
      </w:pPr>
      <w:r>
        <w:br w:type="page"/>
      </w:r>
    </w:p>
    <w:p w14:paraId="62BF512F" w14:textId="6B2B7F32" w:rsidR="00FB4CBC" w:rsidRDefault="00FB4CBC" w:rsidP="00FB4CBC">
      <w:pPr>
        <w:pStyle w:val="Heading2"/>
      </w:pPr>
      <w:bookmarkStart w:id="35" w:name="_Toc95734889"/>
      <w:bookmarkStart w:id="36" w:name="_Toc98760939"/>
      <w:r>
        <w:t xml:space="preserve">Organisational </w:t>
      </w:r>
      <w:r w:rsidR="003E46C3">
        <w:t>r</w:t>
      </w:r>
      <w:r>
        <w:t>esponse</w:t>
      </w:r>
      <w:bookmarkEnd w:id="35"/>
      <w:bookmarkEnd w:id="36"/>
    </w:p>
    <w:p w14:paraId="609A69AA" w14:textId="0C439684" w:rsidR="00FB4CBC" w:rsidRDefault="00FB4CBC" w:rsidP="00FB4CBC">
      <w:pPr>
        <w:pStyle w:val="Heading3"/>
      </w:pPr>
      <w:r>
        <w:t xml:space="preserve">How </w:t>
      </w:r>
      <w:r w:rsidR="003E46C3">
        <w:t>h</w:t>
      </w:r>
      <w:r>
        <w:t xml:space="preserve">as GenWest </w:t>
      </w:r>
      <w:r w:rsidR="003E46C3">
        <w:t>r</w:t>
      </w:r>
      <w:r>
        <w:t>esponded to COVID-19?</w:t>
      </w:r>
    </w:p>
    <w:p w14:paraId="1ED486B0" w14:textId="77777777" w:rsidR="00FB4CBC" w:rsidRDefault="00FB4CBC" w:rsidP="00FB4CBC">
      <w:r>
        <w:t>COVID-19 affected every GenWest</w:t>
      </w:r>
      <w:r w:rsidRPr="005B653E" w:rsidDel="005B653E">
        <w:t xml:space="preserve"> </w:t>
      </w:r>
      <w:r>
        <w:t>program in many and varied ways. Below are three examples of how the organisation responded.</w:t>
      </w:r>
    </w:p>
    <w:p w14:paraId="5A3FBEF0" w14:textId="36660F05" w:rsidR="00FB4CBC" w:rsidRDefault="00FB4CBC" w:rsidP="00FB4CBC">
      <w:pPr>
        <w:pStyle w:val="Heading4"/>
        <w:tabs>
          <w:tab w:val="left" w:pos="4253"/>
        </w:tabs>
      </w:pPr>
      <w:r>
        <w:t xml:space="preserve">Responding to </w:t>
      </w:r>
      <w:r w:rsidR="003E46C3">
        <w:t>t</w:t>
      </w:r>
      <w:r>
        <w:t>echnology-</w:t>
      </w:r>
      <w:r w:rsidR="003E46C3">
        <w:t>f</w:t>
      </w:r>
      <w:r>
        <w:t xml:space="preserve">acilitated </w:t>
      </w:r>
      <w:r w:rsidR="003E46C3">
        <w:t>a</w:t>
      </w:r>
      <w:r>
        <w:t>buse</w:t>
      </w:r>
    </w:p>
    <w:p w14:paraId="5A8CF572" w14:textId="77777777" w:rsidR="00FB4CBC" w:rsidRDefault="00FB4CBC" w:rsidP="00FB4CBC">
      <w:pPr>
        <w:tabs>
          <w:tab w:val="left" w:pos="4253"/>
        </w:tabs>
      </w:pPr>
      <w:r>
        <w:t>During the pandemic, there was an increase in technology-facilitated abuse, likely due to the limitations on perpetrators’ movements during lockdown. GenWest’s Personal Safety Initiative, along with security companies, responded by making sweeps (e.g., checks for bugs, hidden cameras) of cars, houses and technology more affordable and accessible. These services and providers were not available to clients prior to COVID-19.</w:t>
      </w:r>
    </w:p>
    <w:p w14:paraId="6CB104B5" w14:textId="030A5EB5" w:rsidR="00FB4CBC" w:rsidRDefault="00FB4CBC" w:rsidP="00FB4CBC">
      <w:pPr>
        <w:pStyle w:val="Heading4"/>
      </w:pPr>
      <w:r>
        <w:t xml:space="preserve">Moving </w:t>
      </w:r>
      <w:r w:rsidR="003E46C3">
        <w:t>g</w:t>
      </w:r>
      <w:r>
        <w:t xml:space="preserve">roup </w:t>
      </w:r>
      <w:r w:rsidR="003E46C3">
        <w:t>t</w:t>
      </w:r>
      <w:r>
        <w:t xml:space="preserve">herapy </w:t>
      </w:r>
      <w:r w:rsidR="003E46C3">
        <w:t>o</w:t>
      </w:r>
      <w:r>
        <w:t>nline</w:t>
      </w:r>
    </w:p>
    <w:p w14:paraId="5E0E7BFA" w14:textId="77777777" w:rsidR="00FB4CBC" w:rsidRDefault="00FB4CBC" w:rsidP="00FB4CBC">
      <w:r>
        <w:t>The SPLASh program, which provides therapeutic creative arts groups for children who have experienced family violence, moved online. This required a lot of planning and identifying what would translate well online. It was important to consider how to maintain a safe space for clients in their home environment and allowing clients to process some trauma without leaving them with a big emotional response to manage.</w:t>
      </w:r>
    </w:p>
    <w:p w14:paraId="6CB71922" w14:textId="77777777" w:rsidR="00FB4CBC" w:rsidRDefault="00FB4CBC" w:rsidP="00FB4CBC">
      <w:r>
        <w:t>Instead of the usual reliance on props in the room, therapists posted out resource packs and copies of artwork created online. Therapists’ skillsets were developed when needing to come up with new activities that they might not have considered without the pandemic (e.g., drama-based activities).</w:t>
      </w:r>
    </w:p>
    <w:p w14:paraId="474C1C18" w14:textId="0268C446" w:rsidR="00FB4CBC" w:rsidRDefault="00FB4CBC" w:rsidP="00FB4CBC">
      <w:pPr>
        <w:pStyle w:val="Heading4"/>
      </w:pPr>
      <w:r>
        <w:t xml:space="preserve">Service </w:t>
      </w:r>
      <w:r w:rsidR="003E46C3">
        <w:t>c</w:t>
      </w:r>
      <w:r>
        <w:t>oordination</w:t>
      </w:r>
    </w:p>
    <w:p w14:paraId="4DDEB08A" w14:textId="77777777" w:rsidR="00FB4CBC" w:rsidRDefault="00FB4CBC" w:rsidP="00FB4CBC">
      <w:r>
        <w:t>As co-occurring needs increased throughout the pandemic, it was even more important to coordinate with other services to meet client needs. For example, GenWest’s outreach team used A Place To Call Home funds from its refuge program when the usual funds couldn’t meet clients’ needs (e.g., to pay a bond or rent in advance).</w:t>
      </w:r>
    </w:p>
    <w:p w14:paraId="73278694" w14:textId="1CC89D3B" w:rsidR="00FB4CBC" w:rsidRDefault="00FB4CBC" w:rsidP="00FB4CBC">
      <w:pPr>
        <w:pStyle w:val="Heading3"/>
      </w:pPr>
      <w:r>
        <w:t xml:space="preserve">What </w:t>
      </w:r>
      <w:r w:rsidR="00815734">
        <w:t>h</w:t>
      </w:r>
      <w:r>
        <w:t xml:space="preserve">ave </w:t>
      </w:r>
      <w:r w:rsidR="00815734">
        <w:t>b</w:t>
      </w:r>
      <w:r>
        <w:t xml:space="preserve">een the </w:t>
      </w:r>
      <w:r w:rsidR="00815734">
        <w:t>i</w:t>
      </w:r>
      <w:r>
        <w:t xml:space="preserve">mpacts on </w:t>
      </w:r>
      <w:r w:rsidR="00815734">
        <w:t>s</w:t>
      </w:r>
      <w:r>
        <w:t xml:space="preserve">ervice </w:t>
      </w:r>
      <w:r w:rsidR="00815734">
        <w:t>d</w:t>
      </w:r>
      <w:r>
        <w:t>elivery?</w:t>
      </w:r>
    </w:p>
    <w:p w14:paraId="4E62E3E9" w14:textId="75406AE8" w:rsidR="00FB4CBC" w:rsidRDefault="00FB4CBC" w:rsidP="00FB4CBC">
      <w:pPr>
        <w:pStyle w:val="Heading4"/>
      </w:pPr>
      <w:r>
        <w:t xml:space="preserve">Seeking </w:t>
      </w:r>
      <w:r w:rsidR="00815734">
        <w:t>a</w:t>
      </w:r>
      <w:r>
        <w:t>ssistance</w:t>
      </w:r>
    </w:p>
    <w:p w14:paraId="42CE3D22" w14:textId="77777777" w:rsidR="00FB4CBC" w:rsidRDefault="00FB4CBC" w:rsidP="00FB4CBC">
      <w:r>
        <w:t>Towards the start of the pandemic, GenWest saw a lull in clients engaging with the service. This was likely due to the perpetrator being at home with them and the additional burden of the pandemic (e.g., on caring responsibilities). Anecdotally, clients were less likely to leave a relationship during lockdown.</w:t>
      </w:r>
    </w:p>
    <w:p w14:paraId="7D0C12DF" w14:textId="4F6934A3" w:rsidR="00FB4CBC" w:rsidRDefault="00FB4CBC" w:rsidP="00FB4CBC">
      <w:pPr>
        <w:pStyle w:val="Heading4"/>
      </w:pPr>
      <w:r>
        <w:t xml:space="preserve">Services </w:t>
      </w:r>
      <w:r w:rsidR="00815734">
        <w:t>s</w:t>
      </w:r>
      <w:r>
        <w:t>tretched</w:t>
      </w:r>
    </w:p>
    <w:p w14:paraId="533CE6D4" w14:textId="77777777" w:rsidR="00FB4CBC" w:rsidRDefault="00FB4CBC" w:rsidP="00FB4CBC">
      <w:r>
        <w:t>Services were more stretched than usual. For example, the outreach case management team usually has a Centrelink worker with dedicated time for their clients. This position was changed due to COVID-19, making it a lot harder for practitioners and clients to reach Centrelink. Housing services were even harder to reach. There were delays in housing referrals being accepted and some had no response at all.</w:t>
      </w:r>
    </w:p>
    <w:p w14:paraId="6270298E" w14:textId="77777777" w:rsidR="00FB4CBC" w:rsidRPr="00B042FE" w:rsidRDefault="00FB4CBC" w:rsidP="00FB4CBC">
      <w:pPr>
        <w:pStyle w:val="Heading4"/>
      </w:pPr>
      <w:r>
        <w:t>Accessibility</w:t>
      </w:r>
    </w:p>
    <w:p w14:paraId="03F724ED" w14:textId="77777777" w:rsidR="00FB4CBC" w:rsidRDefault="00FB4CBC" w:rsidP="00FB4CBC">
      <w:r>
        <w:t>Moving to telephone and video support changed accessibility. For some, support became more accessible, for example:</w:t>
      </w:r>
    </w:p>
    <w:p w14:paraId="3B5040A2" w14:textId="77777777" w:rsidR="00FB4CBC" w:rsidRPr="00815734" w:rsidRDefault="00FB4CBC" w:rsidP="00717082">
      <w:pPr>
        <w:pStyle w:val="ListParagraph"/>
        <w:numPr>
          <w:ilvl w:val="0"/>
          <w:numId w:val="49"/>
        </w:numPr>
      </w:pPr>
      <w:r w:rsidRPr="00815734">
        <w:t>when a child had to go to another house at short notice and yet was still able to join the SPLASh therapy group</w:t>
      </w:r>
    </w:p>
    <w:p w14:paraId="10CC6AF5" w14:textId="77777777" w:rsidR="00FB4CBC" w:rsidRPr="00815734" w:rsidRDefault="00FB4CBC" w:rsidP="00717082">
      <w:pPr>
        <w:pStyle w:val="ListParagraph"/>
        <w:numPr>
          <w:ilvl w:val="0"/>
          <w:numId w:val="49"/>
        </w:numPr>
      </w:pPr>
      <w:r w:rsidRPr="00815734">
        <w:t>clients feeling more comfortable joining from their home</w:t>
      </w:r>
    </w:p>
    <w:p w14:paraId="0D300642" w14:textId="77777777" w:rsidR="00FB4CBC" w:rsidRPr="00815734" w:rsidRDefault="00FB4CBC" w:rsidP="00717082">
      <w:pPr>
        <w:pStyle w:val="ListParagraph"/>
        <w:numPr>
          <w:ilvl w:val="0"/>
          <w:numId w:val="49"/>
        </w:numPr>
      </w:pPr>
      <w:r w:rsidRPr="00815734">
        <w:t>clients who live far away from the service.</w:t>
      </w:r>
    </w:p>
    <w:p w14:paraId="066CCFDF" w14:textId="77777777" w:rsidR="00FB4CBC" w:rsidRDefault="00FB4CBC" w:rsidP="00FB4CBC">
      <w:r>
        <w:t>For many though, support became less accessible, for example:</w:t>
      </w:r>
    </w:p>
    <w:p w14:paraId="176F52D7" w14:textId="77777777" w:rsidR="00FB4CBC" w:rsidRPr="00815734" w:rsidRDefault="00FB4CBC" w:rsidP="00717082">
      <w:pPr>
        <w:pStyle w:val="ListParagraph"/>
        <w:numPr>
          <w:ilvl w:val="0"/>
          <w:numId w:val="50"/>
        </w:numPr>
      </w:pPr>
      <w:r w:rsidRPr="00815734">
        <w:t>where internet access and/or privacy was limited (e.g., when others were at home during the session)</w:t>
      </w:r>
    </w:p>
    <w:p w14:paraId="24C9B7C2" w14:textId="77777777" w:rsidR="00FB4CBC" w:rsidRPr="00815734" w:rsidRDefault="00FB4CBC" w:rsidP="00717082">
      <w:pPr>
        <w:pStyle w:val="ListParagraph"/>
        <w:numPr>
          <w:ilvl w:val="0"/>
          <w:numId w:val="50"/>
        </w:numPr>
      </w:pPr>
      <w:r w:rsidRPr="00815734">
        <w:t xml:space="preserve">when the client and practitioner did not have a main language in common </w:t>
      </w:r>
    </w:p>
    <w:p w14:paraId="699B430C" w14:textId="77777777" w:rsidR="00FB4CBC" w:rsidRPr="00815734" w:rsidRDefault="00FB4CBC" w:rsidP="00717082">
      <w:pPr>
        <w:pStyle w:val="ListParagraph"/>
        <w:numPr>
          <w:ilvl w:val="0"/>
          <w:numId w:val="50"/>
        </w:numPr>
      </w:pPr>
      <w:r w:rsidRPr="00815734">
        <w:t>where communication was limited (e.g., by disability or for clients who are selectively mute)</w:t>
      </w:r>
    </w:p>
    <w:p w14:paraId="04681EB2" w14:textId="77777777" w:rsidR="00FB4CBC" w:rsidRPr="00815734" w:rsidRDefault="00FB4CBC" w:rsidP="00717082">
      <w:pPr>
        <w:pStyle w:val="ListParagraph"/>
        <w:numPr>
          <w:ilvl w:val="0"/>
          <w:numId w:val="50"/>
        </w:numPr>
      </w:pPr>
      <w:r w:rsidRPr="00815734">
        <w:t>clients also using the screen for study or work and feeling fatigued by additional online connections.</w:t>
      </w:r>
    </w:p>
    <w:p w14:paraId="296E4564" w14:textId="685E0326" w:rsidR="00FB4CBC" w:rsidRDefault="00FB4CBC" w:rsidP="00FB4CBC">
      <w:pPr>
        <w:pStyle w:val="Heading4"/>
      </w:pPr>
      <w:r>
        <w:t xml:space="preserve">Relational </w:t>
      </w:r>
      <w:r w:rsidR="00815734">
        <w:t>a</w:t>
      </w:r>
      <w:r>
        <w:t xml:space="preserve">spect of the </w:t>
      </w:r>
      <w:r w:rsidR="00815734">
        <w:t>w</w:t>
      </w:r>
      <w:r>
        <w:t>ork</w:t>
      </w:r>
    </w:p>
    <w:p w14:paraId="0668E60C" w14:textId="77777777" w:rsidR="00FB4CBC" w:rsidRDefault="00FB4CBC" w:rsidP="00FB4CBC">
      <w:r>
        <w:t>Many practitioners and clients found it difficult to establish or maintain human connection through the screen. Outreach practitioners reported that many clients wanted face-to-face contact, and disengaged from the service, especially young single mothers with children doing schooling at home. In children’s counselling, some clients remained on the waitlist, waiting for the opportunity to receive face-to-face support.</w:t>
      </w:r>
    </w:p>
    <w:p w14:paraId="014E103D" w14:textId="77777777" w:rsidR="00FB4CBC" w:rsidRDefault="00FB4CBC" w:rsidP="00FB4CBC">
      <w:r>
        <w:t>For practitioners, creating enough safety for therapeutic work to occur was more challenging via telehealth or video call, especially for younger children.</w:t>
      </w:r>
    </w:p>
    <w:p w14:paraId="2AD19847" w14:textId="77777777" w:rsidR="00FB4CBC" w:rsidRDefault="00FB4CBC" w:rsidP="00FB4CBC">
      <w:pPr>
        <w:pStyle w:val="Heading4"/>
      </w:pPr>
      <w:r>
        <w:t>Risk</w:t>
      </w:r>
    </w:p>
    <w:p w14:paraId="45CBA466" w14:textId="77777777" w:rsidR="00FB4CBC" w:rsidRDefault="00FB4CBC" w:rsidP="00FB4CBC">
      <w:r>
        <w:t>Managing risks relating to family violence and mental wellbeing, as well as the risks of the pandemic, remained challenging for programs. For example, in</w:t>
      </w:r>
      <w:r w:rsidDel="00981220">
        <w:t xml:space="preserve"> </w:t>
      </w:r>
      <w:r>
        <w:t>GenWest’s children’s counselling program, if children are not able to access therapy early on, the impacts of trauma can further enmesh into the parent-child relationship. This can make recovery much harder as the child and parent burn out over time. During the pandemic, these families were not only unable to access professional help, but were also further isolated from family, friends and community supports that would normally assist recovery.</w:t>
      </w:r>
    </w:p>
    <w:p w14:paraId="306EC2C5" w14:textId="77777777" w:rsidR="00FB4CBC" w:rsidRDefault="00FB4CBC" w:rsidP="00FB4CBC">
      <w:pPr>
        <w:pStyle w:val="Heading4"/>
      </w:pPr>
      <w:r>
        <w:t>Impact on practitioners</w:t>
      </w:r>
    </w:p>
    <w:p w14:paraId="2432DC54" w14:textId="77777777" w:rsidR="00FB4CBC" w:rsidRDefault="00FB4CBC" w:rsidP="00FB4CBC">
      <w:r>
        <w:t>Practitioners reported the following challenges:</w:t>
      </w:r>
    </w:p>
    <w:p w14:paraId="4E3B5769" w14:textId="77777777" w:rsidR="00FB4CBC" w:rsidRPr="00815734" w:rsidRDefault="00FB4CBC" w:rsidP="00717082">
      <w:pPr>
        <w:pStyle w:val="ListParagraph"/>
        <w:numPr>
          <w:ilvl w:val="0"/>
          <w:numId w:val="51"/>
        </w:numPr>
      </w:pPr>
      <w:r w:rsidRPr="00815734">
        <w:t>constant changes in restrictions and practices</w:t>
      </w:r>
    </w:p>
    <w:p w14:paraId="55952944" w14:textId="77777777" w:rsidR="00FB4CBC" w:rsidRPr="00815734" w:rsidRDefault="00FB4CBC" w:rsidP="00717082">
      <w:pPr>
        <w:pStyle w:val="ListParagraph"/>
        <w:numPr>
          <w:ilvl w:val="0"/>
          <w:numId w:val="51"/>
        </w:numPr>
      </w:pPr>
      <w:r w:rsidRPr="00815734">
        <w:t>increased administration work to arrange sessions online and manage new COVID-19 funding</w:t>
      </w:r>
    </w:p>
    <w:p w14:paraId="565CF28A" w14:textId="77777777" w:rsidR="00FB4CBC" w:rsidRPr="00815734" w:rsidRDefault="00FB4CBC" w:rsidP="00717082">
      <w:pPr>
        <w:pStyle w:val="ListParagraph"/>
        <w:numPr>
          <w:ilvl w:val="0"/>
          <w:numId w:val="51"/>
        </w:numPr>
      </w:pPr>
      <w:r w:rsidRPr="00815734">
        <w:t>for staff starting new roles, it was harder to integrate online induction and other leaning into practice</w:t>
      </w:r>
    </w:p>
    <w:p w14:paraId="46D173FF" w14:textId="77777777" w:rsidR="00FB4CBC" w:rsidRPr="00815734" w:rsidRDefault="00FB4CBC" w:rsidP="00717082">
      <w:pPr>
        <w:pStyle w:val="ListParagraph"/>
        <w:numPr>
          <w:ilvl w:val="0"/>
          <w:numId w:val="51"/>
        </w:numPr>
      </w:pPr>
      <w:r w:rsidRPr="00815734">
        <w:t>attending multiple client sessions online in one day, along with organisational meetings</w:t>
      </w:r>
    </w:p>
    <w:p w14:paraId="6C5BCBA2" w14:textId="77777777" w:rsidR="00FB4CBC" w:rsidRPr="00815734" w:rsidRDefault="00FB4CBC" w:rsidP="00717082">
      <w:pPr>
        <w:pStyle w:val="ListParagraph"/>
        <w:numPr>
          <w:ilvl w:val="0"/>
          <w:numId w:val="51"/>
        </w:numPr>
      </w:pPr>
      <w:r w:rsidRPr="00815734">
        <w:t>recruiting staff during the pandemic, due to reduced movement in the labour market.</w:t>
      </w:r>
    </w:p>
    <w:p w14:paraId="18A0096E" w14:textId="5210DF7F" w:rsidR="00FB4CBC" w:rsidRDefault="00FB4CBC" w:rsidP="00FB4CBC">
      <w:pPr>
        <w:pStyle w:val="Heading3"/>
      </w:pPr>
      <w:r>
        <w:t xml:space="preserve">What </w:t>
      </w:r>
      <w:r w:rsidR="00815734">
        <w:t>k</w:t>
      </w:r>
      <w:r>
        <w:t xml:space="preserve">ey </w:t>
      </w:r>
      <w:r w:rsidR="00815734">
        <w:t>l</w:t>
      </w:r>
      <w:r>
        <w:t xml:space="preserve">earnings </w:t>
      </w:r>
      <w:r w:rsidR="00815734">
        <w:t>w</w:t>
      </w:r>
      <w:r>
        <w:t xml:space="preserve">ould GenWest </w:t>
      </w:r>
      <w:r w:rsidR="00815734">
        <w:t>l</w:t>
      </w:r>
      <w:r>
        <w:t xml:space="preserve">ike to </w:t>
      </w:r>
      <w:r w:rsidR="00815734">
        <w:t>t</w:t>
      </w:r>
      <w:r>
        <w:t xml:space="preserve">ake </w:t>
      </w:r>
      <w:r w:rsidR="00815734">
        <w:t>i</w:t>
      </w:r>
      <w:r>
        <w:t xml:space="preserve">nto the </w:t>
      </w:r>
      <w:r w:rsidR="00815734">
        <w:t>f</w:t>
      </w:r>
      <w:r>
        <w:t>uture?</w:t>
      </w:r>
    </w:p>
    <w:p w14:paraId="4E9672F0" w14:textId="77777777" w:rsidR="00FB4CBC" w:rsidRPr="00815734" w:rsidRDefault="00FB4CBC" w:rsidP="00717082">
      <w:pPr>
        <w:pStyle w:val="ListParagraph"/>
        <w:numPr>
          <w:ilvl w:val="0"/>
          <w:numId w:val="52"/>
        </w:numPr>
      </w:pPr>
      <w:r w:rsidRPr="002E4B42">
        <w:rPr>
          <w:b/>
          <w:bCs/>
        </w:rPr>
        <w:t>Continuing a combination of face-to-face and remote support</w:t>
      </w:r>
      <w:r w:rsidRPr="00815734">
        <w:t xml:space="preserve"> provides flexibility to meet client needs and practitioner work preferences.</w:t>
      </w:r>
    </w:p>
    <w:p w14:paraId="7CC440F1" w14:textId="77777777" w:rsidR="00FB4CBC" w:rsidRPr="00815734" w:rsidRDefault="00FB4CBC" w:rsidP="00717082">
      <w:pPr>
        <w:pStyle w:val="ListParagraph"/>
        <w:numPr>
          <w:ilvl w:val="0"/>
          <w:numId w:val="52"/>
        </w:numPr>
      </w:pPr>
      <w:r w:rsidRPr="00815734">
        <w:t xml:space="preserve">During times of uncertainty, practitioners found it easier when there was </w:t>
      </w:r>
      <w:r w:rsidRPr="002E4B42">
        <w:rPr>
          <w:b/>
          <w:bCs/>
        </w:rPr>
        <w:t>a clear process for deciding whether programs would be run online or face-to-face</w:t>
      </w:r>
      <w:r w:rsidRPr="00815734">
        <w:t xml:space="preserve"> (or both). For clients and practitioners, there was less of a sense of loss and instability when the expectation was that the service would be delivered online, compared to when programs changed between online and in-person.</w:t>
      </w:r>
    </w:p>
    <w:p w14:paraId="0FFC6300" w14:textId="77777777" w:rsidR="00FB4CBC" w:rsidRPr="00815734" w:rsidRDefault="00FB4CBC" w:rsidP="00717082">
      <w:pPr>
        <w:pStyle w:val="ListParagraph"/>
        <w:numPr>
          <w:ilvl w:val="0"/>
          <w:numId w:val="52"/>
        </w:numPr>
      </w:pPr>
      <w:r w:rsidRPr="002E4B42">
        <w:rPr>
          <w:b/>
          <w:bCs/>
        </w:rPr>
        <w:t>Risk management needs to be nuanced</w:t>
      </w:r>
      <w:r w:rsidRPr="00815734">
        <w:t xml:space="preserve"> for each program. As well as risks relating to the pandemic, it is important to consider the risks (including long-term risks) of the program not being provided.</w:t>
      </w:r>
    </w:p>
    <w:p w14:paraId="606EBDCE" w14:textId="77777777" w:rsidR="00FB4CBC" w:rsidRPr="00815734" w:rsidRDefault="00FB4CBC" w:rsidP="00717082">
      <w:pPr>
        <w:pStyle w:val="ListParagraph"/>
        <w:numPr>
          <w:ilvl w:val="0"/>
          <w:numId w:val="52"/>
        </w:numPr>
      </w:pPr>
      <w:r w:rsidRPr="002E4B42">
        <w:rPr>
          <w:b/>
          <w:bCs/>
        </w:rPr>
        <w:t>Peer supervision and communities of practice are important mechanisms</w:t>
      </w:r>
      <w:r w:rsidRPr="00815734">
        <w:t xml:space="preserve"> to share ideas, challenges and lessons about what is and is not working in practice, and as a way to enhance the service provided to clients. Since the start of the COVID-19 pandemic, new communities of practice have been established online, and will continue to run. Availability of online, affordable and accessible training has also increased.</w:t>
      </w:r>
    </w:p>
    <w:p w14:paraId="13747AA1" w14:textId="77777777" w:rsidR="00FB4CBC" w:rsidRPr="00815734" w:rsidRDefault="00FB4CBC" w:rsidP="00717082">
      <w:pPr>
        <w:pStyle w:val="ListParagraph"/>
        <w:numPr>
          <w:ilvl w:val="0"/>
          <w:numId w:val="52"/>
        </w:numPr>
      </w:pPr>
      <w:r w:rsidRPr="002E4B42">
        <w:rPr>
          <w:b/>
          <w:bCs/>
        </w:rPr>
        <w:t>Staff wellbeing policies need to be in place and easy to implement</w:t>
      </w:r>
      <w:r w:rsidRPr="00815734">
        <w:t xml:space="preserve">. There was strong uptake of workforce supports, such </w:t>
      </w:r>
      <w:r w:rsidRPr="00815734" w:rsidDel="001B2CEF">
        <w:t>as</w:t>
      </w:r>
      <w:r w:rsidRPr="00815734">
        <w:t>:</w:t>
      </w:r>
    </w:p>
    <w:p w14:paraId="76913073" w14:textId="77777777" w:rsidR="00FB4CBC" w:rsidRDefault="00FB4CBC" w:rsidP="00717082">
      <w:pPr>
        <w:pStyle w:val="ListParagraph"/>
        <w:numPr>
          <w:ilvl w:val="1"/>
          <w:numId w:val="53"/>
        </w:numPr>
        <w:spacing w:line="360" w:lineRule="auto"/>
        <w:ind w:right="0"/>
      </w:pPr>
      <w:r>
        <w:t>flexible working practices (shift times and working remotely)</w:t>
      </w:r>
    </w:p>
    <w:p w14:paraId="3AFCB44C" w14:textId="77777777" w:rsidR="00FB4CBC" w:rsidRDefault="00FB4CBC" w:rsidP="00717082">
      <w:pPr>
        <w:pStyle w:val="ListParagraph"/>
        <w:numPr>
          <w:ilvl w:val="1"/>
          <w:numId w:val="53"/>
        </w:numPr>
        <w:spacing w:line="360" w:lineRule="auto"/>
        <w:ind w:right="0"/>
      </w:pPr>
      <w:r>
        <w:t>GenWest-funded payments for staff who could not complete their required hours due to caring or home-schooling responsibilities</w:t>
      </w:r>
    </w:p>
    <w:p w14:paraId="0B9D9FA7" w14:textId="77777777" w:rsidR="00FB4CBC" w:rsidRDefault="00FB4CBC" w:rsidP="00717082">
      <w:pPr>
        <w:pStyle w:val="ListParagraph"/>
        <w:numPr>
          <w:ilvl w:val="1"/>
          <w:numId w:val="53"/>
        </w:numPr>
        <w:spacing w:line="360" w:lineRule="auto"/>
        <w:ind w:right="0"/>
      </w:pPr>
      <w:r>
        <w:t>taking leave for pandemic-related reasons.</w:t>
      </w:r>
    </w:p>
    <w:p w14:paraId="26E428F3" w14:textId="77777777" w:rsidR="008934C0" w:rsidRDefault="008934C0" w:rsidP="00FB4CBC">
      <w:pPr>
        <w:spacing w:line="259" w:lineRule="auto"/>
        <w:sectPr w:rsidR="008934C0" w:rsidSect="00972F03">
          <w:headerReference w:type="default" r:id="rId21"/>
          <w:pgSz w:w="11906" w:h="16838"/>
          <w:pgMar w:top="1803" w:right="1440" w:bottom="1440" w:left="1440" w:header="709" w:footer="709" w:gutter="0"/>
          <w:cols w:space="708"/>
          <w:docGrid w:linePitch="360"/>
        </w:sectPr>
      </w:pPr>
    </w:p>
    <w:p w14:paraId="2EC1E5EC" w14:textId="511C709D" w:rsidR="004A6B2A" w:rsidRDefault="004A6B2A" w:rsidP="004A6B2A">
      <w:pPr>
        <w:pStyle w:val="Heading1"/>
      </w:pPr>
      <w:bookmarkStart w:id="37" w:name="_Toc95734890"/>
      <w:bookmarkStart w:id="38" w:name="_Toc98760940"/>
      <w:r>
        <w:t xml:space="preserve">Case </w:t>
      </w:r>
      <w:r w:rsidR="00C87333">
        <w:t>s</w:t>
      </w:r>
      <w:r>
        <w:t>tudy: Good Shepherd Australia New Zealand</w:t>
      </w:r>
      <w:bookmarkEnd w:id="37"/>
      <w:bookmarkEnd w:id="38"/>
    </w:p>
    <w:p w14:paraId="5F9E626D" w14:textId="77777777" w:rsidR="004A6B2A" w:rsidRDefault="004A6B2A" w:rsidP="004A6B2A">
      <w:r>
        <w:t xml:space="preserve">Good Shepherd Australia New Zealand’s vision is for all women, girls and families to be safe, well, strong and connected. Good Shepherd is Australia’s oldest community agency supporting women and girls experiencing abuse and disadvantage, family and domestic violence, and financial insecurity. Good Shepherd delivers an extensive range of programs which have been developed over the years to respond to the needs of the community. </w:t>
      </w:r>
    </w:p>
    <w:p w14:paraId="5A32EBAD" w14:textId="32B4EDDE" w:rsidR="004A6B2A" w:rsidRDefault="004A6B2A" w:rsidP="004A6B2A">
      <w:pPr>
        <w:pStyle w:val="Heading2"/>
      </w:pPr>
      <w:bookmarkStart w:id="39" w:name="_Toc95734891"/>
      <w:bookmarkStart w:id="40" w:name="_Toc98760941"/>
      <w:r>
        <w:t xml:space="preserve">About </w:t>
      </w:r>
      <w:r w:rsidR="00BB0709">
        <w:t>s</w:t>
      </w:r>
      <w:r>
        <w:t xml:space="preserve">ervice </w:t>
      </w:r>
      <w:r w:rsidR="00BB0709">
        <w:t>d</w:t>
      </w:r>
      <w:r>
        <w:t>elivery</w:t>
      </w:r>
      <w:bookmarkEnd w:id="39"/>
      <w:bookmarkEnd w:id="40"/>
    </w:p>
    <w:p w14:paraId="6E884441" w14:textId="5B1CAAD2" w:rsidR="004A6B2A" w:rsidRDefault="004A6B2A" w:rsidP="004A6B2A">
      <w:pPr>
        <w:pStyle w:val="Heading3"/>
      </w:pPr>
      <w:r>
        <w:t xml:space="preserve">Service </w:t>
      </w:r>
      <w:r w:rsidR="00BB0709">
        <w:t>p</w:t>
      </w:r>
      <w:r>
        <w:t>rofile</w:t>
      </w:r>
    </w:p>
    <w:p w14:paraId="7CAF6DD7" w14:textId="77777777" w:rsidR="004A6B2A" w:rsidRDefault="004A6B2A" w:rsidP="004A6B2A">
      <w:r>
        <w:t>Good Shepherd’s services are delivered across Australia and include:</w:t>
      </w:r>
    </w:p>
    <w:p w14:paraId="7115D799" w14:textId="77777777" w:rsidR="004A6B2A" w:rsidRPr="00BB0709" w:rsidRDefault="004A6B2A" w:rsidP="00717082">
      <w:pPr>
        <w:pStyle w:val="ListParagraph"/>
        <w:numPr>
          <w:ilvl w:val="0"/>
          <w:numId w:val="56"/>
        </w:numPr>
      </w:pPr>
      <w:r w:rsidRPr="00133DE5">
        <w:rPr>
          <w:b/>
          <w:bCs/>
        </w:rPr>
        <w:t>Family violence case management</w:t>
      </w:r>
      <w:r w:rsidRPr="00BB0709">
        <w:t xml:space="preserve"> – providing risk assessment, safety planning and holistic case planning to victim-survivors who have either left or are still residing with their perpetrator. Case management can vary in its duration and is based on the needs of the victim-survivor.</w:t>
      </w:r>
    </w:p>
    <w:p w14:paraId="6DFD0A95" w14:textId="106C7B77" w:rsidR="004A6B2A" w:rsidRPr="00BB0709" w:rsidRDefault="004A6B2A" w:rsidP="00717082">
      <w:pPr>
        <w:pStyle w:val="ListParagraph"/>
        <w:numPr>
          <w:ilvl w:val="0"/>
          <w:numId w:val="56"/>
        </w:numPr>
      </w:pPr>
      <w:r w:rsidRPr="00133DE5">
        <w:rPr>
          <w:b/>
          <w:bCs/>
        </w:rPr>
        <w:t>Alexis Program</w:t>
      </w:r>
      <w:r w:rsidRPr="00BB0709">
        <w:t xml:space="preserve"> – providing assertive outreach for victim-survivors where the perpetrator is being case managed within the Somerville Family Violence Unit.</w:t>
      </w:r>
    </w:p>
    <w:p w14:paraId="1F8BD5AA" w14:textId="77777777" w:rsidR="004A6B2A" w:rsidRPr="00BB0709" w:rsidRDefault="004A6B2A" w:rsidP="00717082">
      <w:pPr>
        <w:pStyle w:val="ListParagraph"/>
        <w:numPr>
          <w:ilvl w:val="0"/>
          <w:numId w:val="56"/>
        </w:numPr>
      </w:pPr>
      <w:r w:rsidRPr="00133DE5" w:rsidDel="001B2CEF">
        <w:rPr>
          <w:b/>
          <w:bCs/>
        </w:rPr>
        <w:t>Family Violence Counselling program</w:t>
      </w:r>
      <w:r w:rsidRPr="00BB0709" w:rsidDel="001B2CEF">
        <w:t xml:space="preserve"> </w:t>
      </w:r>
      <w:r w:rsidRPr="00BB0709">
        <w:t>– providing adult and children victim-survivors with therapeutic support.</w:t>
      </w:r>
    </w:p>
    <w:p w14:paraId="5290A503" w14:textId="77777777" w:rsidR="004A6B2A" w:rsidRPr="00BB0709" w:rsidRDefault="004A6B2A" w:rsidP="00717082">
      <w:pPr>
        <w:pStyle w:val="ListParagraph"/>
        <w:numPr>
          <w:ilvl w:val="0"/>
          <w:numId w:val="56"/>
        </w:numPr>
      </w:pPr>
      <w:r w:rsidRPr="00133DE5">
        <w:rPr>
          <w:b/>
          <w:bCs/>
        </w:rPr>
        <w:t>Strength to Strength program</w:t>
      </w:r>
      <w:r w:rsidRPr="00BB0709">
        <w:t xml:space="preserve"> – providing longer-term therapeutic support following family violence crisis intervention and management with focus on healing and recovery. </w:t>
      </w:r>
    </w:p>
    <w:p w14:paraId="12173E28" w14:textId="6528B9F3" w:rsidR="004A6B2A" w:rsidRPr="00BB0709" w:rsidRDefault="004A6B2A" w:rsidP="00717082">
      <w:pPr>
        <w:pStyle w:val="ListParagraph"/>
        <w:numPr>
          <w:ilvl w:val="0"/>
          <w:numId w:val="56"/>
        </w:numPr>
      </w:pPr>
      <w:r w:rsidRPr="00133DE5">
        <w:rPr>
          <w:b/>
          <w:bCs/>
        </w:rPr>
        <w:t>After-hours crisis support</w:t>
      </w:r>
      <w:r w:rsidRPr="00BB0709">
        <w:t xml:space="preserve"> –</w:t>
      </w:r>
      <w:r w:rsidRPr="00BB0709" w:rsidDel="00286304">
        <w:t xml:space="preserve"> </w:t>
      </w:r>
      <w:r w:rsidRPr="00BB0709">
        <w:t>providing support to women and children escaping family violence in emergency accommodation, hospitals or police stations. Assistance is provided for both emotional support and material aid. After-hours support is also provided to women and children in case management.</w:t>
      </w:r>
    </w:p>
    <w:p w14:paraId="20B844BF" w14:textId="77777777" w:rsidR="004A6B2A" w:rsidRPr="00BB0709" w:rsidRDefault="004A6B2A" w:rsidP="00717082">
      <w:pPr>
        <w:pStyle w:val="ListParagraph"/>
        <w:numPr>
          <w:ilvl w:val="0"/>
          <w:numId w:val="56"/>
        </w:numPr>
      </w:pPr>
      <w:r w:rsidRPr="00133DE5">
        <w:rPr>
          <w:b/>
          <w:bCs/>
        </w:rPr>
        <w:t>Personal safety initiatives</w:t>
      </w:r>
      <w:r w:rsidRPr="00BB0709">
        <w:t xml:space="preserve"> –</w:t>
      </w:r>
      <w:r w:rsidRPr="00BB0709" w:rsidDel="00286304">
        <w:t xml:space="preserve"> </w:t>
      </w:r>
      <w:r w:rsidRPr="00BB0709">
        <w:t>providing guidance on the safe use of technologies, as well as specialist information and support for safety devices and equipment in family violence situations.</w:t>
      </w:r>
    </w:p>
    <w:p w14:paraId="58322069" w14:textId="7B3659A0" w:rsidR="004A6B2A" w:rsidRPr="00BB0709" w:rsidRDefault="004A6B2A" w:rsidP="00717082">
      <w:pPr>
        <w:pStyle w:val="ListParagraph"/>
        <w:numPr>
          <w:ilvl w:val="0"/>
          <w:numId w:val="56"/>
        </w:numPr>
      </w:pPr>
      <w:r w:rsidRPr="00133DE5">
        <w:rPr>
          <w:b/>
          <w:bCs/>
        </w:rPr>
        <w:t>Refuge and crisis accommodation support</w:t>
      </w:r>
      <w:r w:rsidRPr="00BB0709">
        <w:t xml:space="preserve"> –</w:t>
      </w:r>
      <w:r w:rsidRPr="00BB0709" w:rsidDel="00286304">
        <w:t xml:space="preserve"> </w:t>
      </w:r>
      <w:r w:rsidRPr="00BB0709">
        <w:t>providing high security refuge, accommodation and intensive family violence case management for victim-survivors.</w:t>
      </w:r>
    </w:p>
    <w:p w14:paraId="161251DC" w14:textId="77777777" w:rsidR="004A6B2A" w:rsidRPr="00BB0709" w:rsidRDefault="004A6B2A" w:rsidP="00717082">
      <w:pPr>
        <w:pStyle w:val="ListParagraph"/>
        <w:numPr>
          <w:ilvl w:val="0"/>
          <w:numId w:val="56"/>
        </w:numPr>
      </w:pPr>
      <w:r w:rsidRPr="00133DE5">
        <w:rPr>
          <w:b/>
          <w:bCs/>
        </w:rPr>
        <w:t>Prison-based support</w:t>
      </w:r>
      <w:r w:rsidRPr="00BB0709">
        <w:t xml:space="preserve"> – working closely with the prison release team, this program provides risk assessment and safety planning for women who are incarcerated at Dame Phyllis Frost Centre and Tarrengower Prison prior to their release, ensuring their safety when they return to their communities.</w:t>
      </w:r>
    </w:p>
    <w:p w14:paraId="57DB261C" w14:textId="77777777" w:rsidR="004A6B2A" w:rsidRPr="00BB0709" w:rsidRDefault="004A6B2A" w:rsidP="00717082">
      <w:pPr>
        <w:pStyle w:val="ListParagraph"/>
        <w:numPr>
          <w:ilvl w:val="0"/>
          <w:numId w:val="56"/>
        </w:numPr>
      </w:pPr>
      <w:r w:rsidRPr="00BE062D">
        <w:rPr>
          <w:b/>
          <w:bCs/>
        </w:rPr>
        <w:t>Risk Assessment and Management Panel (RAMP)</w:t>
      </w:r>
      <w:r w:rsidRPr="00BB0709">
        <w:t xml:space="preserve"> – Good Shepherd co-chairs the RAMP for high-risk cases of family violence. </w:t>
      </w:r>
    </w:p>
    <w:p w14:paraId="0D51DB10" w14:textId="77777777" w:rsidR="004A6B2A" w:rsidRPr="00BB0709" w:rsidRDefault="004A6B2A" w:rsidP="00717082">
      <w:pPr>
        <w:pStyle w:val="ListParagraph"/>
        <w:numPr>
          <w:ilvl w:val="0"/>
          <w:numId w:val="56"/>
        </w:numPr>
      </w:pPr>
      <w:r w:rsidRPr="00BE062D">
        <w:rPr>
          <w:b/>
          <w:bCs/>
        </w:rPr>
        <w:t>Flexible funding support</w:t>
      </w:r>
      <w:r w:rsidRPr="00BB0709">
        <w:t xml:space="preserve"> – providing financial assistance to meet the urgent needs of clients to maintain their safety, accommodation and wellbeing. </w:t>
      </w:r>
    </w:p>
    <w:p w14:paraId="184DB4F4" w14:textId="77777777" w:rsidR="004A6B2A" w:rsidRDefault="004A6B2A" w:rsidP="004A6B2A">
      <w:r>
        <w:t>Good Shepherd also runs youth programs and parenting programs and launched the Household Relief program as a direct response to financial insecurity caused by COVID-19.</w:t>
      </w:r>
    </w:p>
    <w:p w14:paraId="7823BAB2" w14:textId="77777777" w:rsidR="004A6B2A" w:rsidRDefault="004A6B2A" w:rsidP="004A6B2A">
      <w:r>
        <w:t>To create wraparound services for clients, Good Shepherd partners with relevant community agencies – including The Orange Door, Safe Steps, WithRespect and others, and works closely with emergency and protection services.</w:t>
      </w:r>
    </w:p>
    <w:p w14:paraId="558A4776" w14:textId="77777777" w:rsidR="004A6B2A" w:rsidRDefault="004A6B2A" w:rsidP="004A6B2A">
      <w:r>
        <w:t>Good Shepherd has recently launched the Financial Independence Hub, where victim-survivors or women at risk of experiencing family violence can receive comprehensive, tailored support to improve their financial security. Domestic Violence No Interest Loans provide no-interest loans tailored to the needs of domestic violence victim-survivors.</w:t>
      </w:r>
    </w:p>
    <w:p w14:paraId="384982C8" w14:textId="050A1F8B" w:rsidR="000D4E54" w:rsidRDefault="000D4E54" w:rsidP="000D4E54">
      <w:pPr>
        <w:pStyle w:val="Heading3"/>
      </w:pPr>
      <w:r>
        <w:t>Service delivery area</w:t>
      </w:r>
    </w:p>
    <w:p w14:paraId="68CDD578" w14:textId="77777777" w:rsidR="000D4E54" w:rsidRDefault="000D4E54" w:rsidP="004A6B2A">
      <w:r>
        <w:t>Good Shepherd’s primary geographical locations for providing family violence services are both in Victoria:</w:t>
      </w:r>
    </w:p>
    <w:p w14:paraId="1C63EF9E" w14:textId="77777777" w:rsidR="000D4E54" w:rsidRDefault="000D4E54" w:rsidP="00717082">
      <w:pPr>
        <w:pStyle w:val="ListParagraph"/>
        <w:numPr>
          <w:ilvl w:val="0"/>
          <w:numId w:val="104"/>
        </w:numPr>
      </w:pPr>
      <w:r>
        <w:t>the Bayside Peninsula area</w:t>
      </w:r>
    </w:p>
    <w:p w14:paraId="1E4178E5" w14:textId="35EB3BDA" w:rsidR="000D4E54" w:rsidRDefault="000D4E54" w:rsidP="00717082">
      <w:pPr>
        <w:pStyle w:val="ListParagraph"/>
        <w:numPr>
          <w:ilvl w:val="0"/>
          <w:numId w:val="104"/>
        </w:numPr>
      </w:pPr>
      <w:r>
        <w:t>Brimbank/Melton.</w:t>
      </w:r>
    </w:p>
    <w:p w14:paraId="34E46637" w14:textId="031F9393" w:rsidR="004A6B2A" w:rsidRDefault="004A6B2A" w:rsidP="004A6B2A">
      <w:pPr>
        <w:pStyle w:val="Heading3"/>
      </w:pPr>
      <w:r>
        <w:t xml:space="preserve">Service </w:t>
      </w:r>
      <w:r w:rsidR="00CD63ED">
        <w:t>r</w:t>
      </w:r>
      <w:r>
        <w:t>each</w:t>
      </w:r>
    </w:p>
    <w:p w14:paraId="3932187C" w14:textId="77777777" w:rsidR="004A6B2A" w:rsidRDefault="004A6B2A" w:rsidP="004A6B2A">
      <w:r>
        <w:t xml:space="preserve">In the 2020–21 financial year, an estimated 60,000 people received some type of support from Good Shepherd programs, </w:t>
      </w:r>
      <w:r w:rsidDel="00FA58DE">
        <w:t>including</w:t>
      </w:r>
      <w:r>
        <w:t>:</w:t>
      </w:r>
    </w:p>
    <w:p w14:paraId="51E211FB" w14:textId="77777777" w:rsidR="004A6B2A" w:rsidRPr="008B42A3" w:rsidRDefault="004A6B2A" w:rsidP="00717082">
      <w:pPr>
        <w:pStyle w:val="ListParagraph"/>
        <w:numPr>
          <w:ilvl w:val="0"/>
          <w:numId w:val="57"/>
        </w:numPr>
      </w:pPr>
      <w:r w:rsidRPr="008B42A3">
        <w:t>family violence case management support</w:t>
      </w:r>
    </w:p>
    <w:p w14:paraId="68D8A837" w14:textId="77777777" w:rsidR="004A6B2A" w:rsidRPr="008B42A3" w:rsidRDefault="004A6B2A" w:rsidP="00717082">
      <w:pPr>
        <w:pStyle w:val="ListParagraph"/>
        <w:numPr>
          <w:ilvl w:val="0"/>
          <w:numId w:val="57"/>
        </w:numPr>
      </w:pPr>
      <w:r w:rsidRPr="008B42A3">
        <w:t>after-hours crisis support</w:t>
      </w:r>
    </w:p>
    <w:p w14:paraId="5ABA449C" w14:textId="77777777" w:rsidR="004A6B2A" w:rsidRPr="008B42A3" w:rsidRDefault="004A6B2A" w:rsidP="00717082">
      <w:pPr>
        <w:pStyle w:val="ListParagraph"/>
        <w:numPr>
          <w:ilvl w:val="0"/>
          <w:numId w:val="57"/>
        </w:numPr>
      </w:pPr>
      <w:r w:rsidRPr="008B42A3">
        <w:t>refuge services</w:t>
      </w:r>
    </w:p>
    <w:p w14:paraId="36E6ED76" w14:textId="77777777" w:rsidR="004A6B2A" w:rsidRPr="008B42A3" w:rsidRDefault="004A6B2A" w:rsidP="00717082">
      <w:pPr>
        <w:pStyle w:val="ListParagraph"/>
        <w:numPr>
          <w:ilvl w:val="0"/>
          <w:numId w:val="57"/>
        </w:numPr>
      </w:pPr>
      <w:r w:rsidRPr="008B42A3">
        <w:t>family services</w:t>
      </w:r>
    </w:p>
    <w:p w14:paraId="5430AB12" w14:textId="77777777" w:rsidR="004A6B2A" w:rsidRPr="008B42A3" w:rsidRDefault="004A6B2A" w:rsidP="00717082">
      <w:pPr>
        <w:pStyle w:val="ListParagraph"/>
        <w:numPr>
          <w:ilvl w:val="0"/>
          <w:numId w:val="57"/>
        </w:numPr>
      </w:pPr>
      <w:r w:rsidRPr="008B42A3">
        <w:t>financial counselling and coaching</w:t>
      </w:r>
    </w:p>
    <w:p w14:paraId="6A1FBE42" w14:textId="77777777" w:rsidR="004A6B2A" w:rsidRPr="008B42A3" w:rsidRDefault="004A6B2A" w:rsidP="00717082">
      <w:pPr>
        <w:pStyle w:val="ListParagraph"/>
        <w:numPr>
          <w:ilvl w:val="0"/>
          <w:numId w:val="57"/>
        </w:numPr>
      </w:pPr>
      <w:r w:rsidRPr="008B42A3">
        <w:t>no-interest loans.</w:t>
      </w:r>
    </w:p>
    <w:p w14:paraId="49E57E0B" w14:textId="77777777" w:rsidR="0065031F" w:rsidRDefault="0065031F">
      <w:pPr>
        <w:spacing w:line="259" w:lineRule="auto"/>
        <w:rPr>
          <w:rFonts w:eastAsiaTheme="majorEastAsia" w:cs="Assistant SemiBold"/>
          <w:b/>
          <w:color w:val="323E4F" w:themeColor="text2" w:themeShade="BF"/>
          <w:sz w:val="44"/>
          <w:szCs w:val="40"/>
        </w:rPr>
      </w:pPr>
      <w:bookmarkStart w:id="41" w:name="_Toc95734892"/>
      <w:r>
        <w:br w:type="page"/>
      </w:r>
    </w:p>
    <w:p w14:paraId="59E7F57B" w14:textId="69C872B5" w:rsidR="004A6B2A" w:rsidRDefault="004A6B2A" w:rsidP="004A6B2A">
      <w:pPr>
        <w:pStyle w:val="Heading2"/>
      </w:pPr>
      <w:bookmarkStart w:id="42" w:name="_Toc98760942"/>
      <w:r w:rsidRPr="00462C0C">
        <w:t xml:space="preserve">What Good Shepherd </w:t>
      </w:r>
      <w:r w:rsidR="00751D60">
        <w:t>s</w:t>
      </w:r>
      <w:r w:rsidRPr="00462C0C">
        <w:t xml:space="preserve">aw </w:t>
      </w:r>
      <w:r w:rsidR="00751D60">
        <w:t>d</w:t>
      </w:r>
      <w:r w:rsidRPr="00462C0C">
        <w:t>uring COVID-19</w:t>
      </w:r>
      <w:bookmarkEnd w:id="41"/>
      <w:bookmarkEnd w:id="42"/>
    </w:p>
    <w:p w14:paraId="32C14F98" w14:textId="77777777" w:rsidR="004A6B2A" w:rsidRDefault="004A6B2A" w:rsidP="004A6B2A">
      <w:r>
        <w:t xml:space="preserve">During the lockdowns experienced in Victoria in 2020 and 2021, the majority of Good Shepherd’s family violence (and other) services were provided remotely. Family violence support was primarily provided through telephone, online or video conferencing channels, and the majority of the family violence practitioners moved to a work-from-home model. Exceptions </w:t>
      </w:r>
      <w:r w:rsidDel="00555B89">
        <w:t>included</w:t>
      </w:r>
      <w:r>
        <w:t>:</w:t>
      </w:r>
    </w:p>
    <w:p w14:paraId="3D1740E0" w14:textId="77777777" w:rsidR="004A6B2A" w:rsidRDefault="004A6B2A" w:rsidP="00717082">
      <w:pPr>
        <w:pStyle w:val="ListParagraph"/>
        <w:numPr>
          <w:ilvl w:val="0"/>
          <w:numId w:val="89"/>
        </w:numPr>
      </w:pPr>
      <w:r>
        <w:t>refuges</w:t>
      </w:r>
    </w:p>
    <w:p w14:paraId="4020B63B" w14:textId="77777777" w:rsidR="004A6B2A" w:rsidRDefault="004A6B2A" w:rsidP="00717082">
      <w:pPr>
        <w:pStyle w:val="ListParagraph"/>
        <w:numPr>
          <w:ilvl w:val="0"/>
          <w:numId w:val="89"/>
        </w:numPr>
      </w:pPr>
      <w:r>
        <w:t>the after-hours crisis support service, which generally involves meeting and supporting women at police stations or in hospital settings</w:t>
      </w:r>
    </w:p>
    <w:p w14:paraId="41FBBBA4" w14:textId="77777777" w:rsidR="004A6B2A" w:rsidRDefault="004A6B2A" w:rsidP="00717082">
      <w:pPr>
        <w:pStyle w:val="ListParagraph"/>
        <w:numPr>
          <w:ilvl w:val="0"/>
          <w:numId w:val="89"/>
        </w:numPr>
      </w:pPr>
      <w:r>
        <w:t>cases where there was extreme need.</w:t>
      </w:r>
    </w:p>
    <w:p w14:paraId="715A63FB" w14:textId="3FBD03BD" w:rsidR="004A6B2A" w:rsidRDefault="004A6B2A" w:rsidP="004A6B2A">
      <w:pPr>
        <w:pStyle w:val="Heading3"/>
      </w:pPr>
      <w:r>
        <w:t xml:space="preserve">Key </w:t>
      </w:r>
      <w:r w:rsidR="00751D60">
        <w:t>f</w:t>
      </w:r>
      <w:r>
        <w:t>indings</w:t>
      </w:r>
    </w:p>
    <w:p w14:paraId="33BA997B" w14:textId="77777777" w:rsidR="004A6B2A" w:rsidRDefault="004A6B2A" w:rsidP="004A6B2A">
      <w:r>
        <w:t>During the COVID-19 period, family violence services at Good Shepherd provided case management to 1,129 clients. For</w:t>
      </w:r>
      <w:r w:rsidDel="000F1249">
        <w:t xml:space="preserve"> </w:t>
      </w:r>
      <w:r>
        <w:t>clients who completed a safety plan (n=931), the primary reason they sought help was for family violence (99.9%). In addition to family violence, other reasons for seeking assistance from Good Shepherd practitioners included:</w:t>
      </w:r>
    </w:p>
    <w:p w14:paraId="189EE2EC" w14:textId="77777777" w:rsidR="004A6B2A" w:rsidRPr="00751D60" w:rsidRDefault="004A6B2A" w:rsidP="00717082">
      <w:pPr>
        <w:pStyle w:val="ListParagraph"/>
        <w:numPr>
          <w:ilvl w:val="0"/>
          <w:numId w:val="58"/>
        </w:numPr>
      </w:pPr>
      <w:r w:rsidRPr="00751D60">
        <w:t>financial difficulties (11.6%)</w:t>
      </w:r>
    </w:p>
    <w:p w14:paraId="2274260B" w14:textId="77777777" w:rsidR="004A6B2A" w:rsidRPr="00751D60" w:rsidRDefault="004A6B2A" w:rsidP="00717082">
      <w:pPr>
        <w:pStyle w:val="ListParagraph"/>
        <w:numPr>
          <w:ilvl w:val="0"/>
          <w:numId w:val="58"/>
        </w:numPr>
      </w:pPr>
      <w:r w:rsidRPr="00751D60">
        <w:t>relationship or family breakdown (11%)</w:t>
      </w:r>
    </w:p>
    <w:p w14:paraId="5CE43136" w14:textId="77777777" w:rsidR="004A6B2A" w:rsidRPr="00751D60" w:rsidRDefault="004A6B2A" w:rsidP="00717082">
      <w:pPr>
        <w:pStyle w:val="ListParagraph"/>
        <w:numPr>
          <w:ilvl w:val="0"/>
          <w:numId w:val="58"/>
        </w:numPr>
      </w:pPr>
      <w:r w:rsidRPr="00751D60">
        <w:t>mental health issues (7.2%)</w:t>
      </w:r>
    </w:p>
    <w:p w14:paraId="3940CDD1" w14:textId="77777777" w:rsidR="004A6B2A" w:rsidRPr="00751D60" w:rsidRDefault="004A6B2A" w:rsidP="00717082">
      <w:pPr>
        <w:pStyle w:val="ListParagraph"/>
        <w:numPr>
          <w:ilvl w:val="0"/>
          <w:numId w:val="58"/>
        </w:numPr>
      </w:pPr>
      <w:r w:rsidRPr="00751D60">
        <w:t>housing affordability stress (5.9%).</w:t>
      </w:r>
    </w:p>
    <w:p w14:paraId="0624A5AB" w14:textId="77777777" w:rsidR="004A6B2A" w:rsidRDefault="004A6B2A" w:rsidP="004A6B2A">
      <w:r>
        <w:t xml:space="preserve">For these clients, the risk of homelessness was recorded at 33.7%. 44.8% reported financial insecurity, and 26.2% had co-occurring mental health needs. </w:t>
      </w:r>
    </w:p>
    <w:p w14:paraId="46F44353" w14:textId="77777777" w:rsidR="004A6B2A" w:rsidRDefault="004A6B2A" w:rsidP="004A6B2A">
      <w:r>
        <w:t>The majority of clients were assessed as being either at “elevated risk” (37%) or “serious risk” (41%). A smaller number (19.6%) were assessed as being “at</w:t>
      </w:r>
      <w:r w:rsidDel="008650B1">
        <w:t xml:space="preserve"> </w:t>
      </w:r>
      <w:r>
        <w:t xml:space="preserve">risk” and 11.8% assessed as being at “serious risk and requiring immediate protection”. </w:t>
      </w:r>
    </w:p>
    <w:p w14:paraId="23C79574" w14:textId="77777777" w:rsidR="004A6B2A" w:rsidRDefault="004A6B2A" w:rsidP="004A6B2A">
      <w:r>
        <w:t xml:space="preserve">Brokerage funds during COVID-19 were spent primarily </w:t>
      </w:r>
      <w:r w:rsidDel="00431C78">
        <w:t>on</w:t>
      </w:r>
      <w:r>
        <w:t>:</w:t>
      </w:r>
    </w:p>
    <w:p w14:paraId="3ABD55DD" w14:textId="77777777" w:rsidR="004A6B2A" w:rsidRPr="00751D60" w:rsidRDefault="004A6B2A" w:rsidP="00717082">
      <w:pPr>
        <w:pStyle w:val="ListParagraph"/>
        <w:numPr>
          <w:ilvl w:val="0"/>
          <w:numId w:val="59"/>
        </w:numPr>
      </w:pPr>
      <w:r w:rsidRPr="00751D60">
        <w:t>food, clothes, phone or computers (65.8%, or $147,267)</w:t>
      </w:r>
    </w:p>
    <w:p w14:paraId="0C93C725" w14:textId="77777777" w:rsidR="004A6B2A" w:rsidRPr="00751D60" w:rsidRDefault="004A6B2A" w:rsidP="00717082">
      <w:pPr>
        <w:pStyle w:val="ListParagraph"/>
        <w:numPr>
          <w:ilvl w:val="0"/>
          <w:numId w:val="59"/>
        </w:numPr>
      </w:pPr>
      <w:r w:rsidRPr="00751D60">
        <w:t>housing-related expenses (9.7%, or $21,858)</w:t>
      </w:r>
    </w:p>
    <w:p w14:paraId="1C4B9156" w14:textId="77777777" w:rsidR="004A6B2A" w:rsidRPr="00751D60" w:rsidRDefault="004A6B2A" w:rsidP="00717082">
      <w:pPr>
        <w:pStyle w:val="ListParagraph"/>
        <w:numPr>
          <w:ilvl w:val="0"/>
          <w:numId w:val="59"/>
        </w:numPr>
      </w:pPr>
      <w:r w:rsidRPr="00751D60">
        <w:t>personal safety measures (5.9%, or $13,215)</w:t>
      </w:r>
    </w:p>
    <w:p w14:paraId="1A13613E" w14:textId="77777777" w:rsidR="004A6B2A" w:rsidRPr="00751D60" w:rsidRDefault="004A6B2A" w:rsidP="00717082">
      <w:pPr>
        <w:pStyle w:val="ListParagraph"/>
        <w:numPr>
          <w:ilvl w:val="0"/>
          <w:numId w:val="59"/>
        </w:numPr>
      </w:pPr>
      <w:r w:rsidRPr="00751D60">
        <w:t xml:space="preserve">an ‘other’ category (17.7%, or $39,685), which includes childcare, medical or pharmaceutical needs, health and wellbeing supports, travel or commuting, and legal services. </w:t>
      </w:r>
    </w:p>
    <w:p w14:paraId="7486488F" w14:textId="6583B2E9" w:rsidR="004A6B2A" w:rsidRDefault="004A6B2A" w:rsidP="004A6B2A">
      <w:pPr>
        <w:pStyle w:val="Heading3"/>
      </w:pPr>
      <w:r>
        <w:t>Co-</w:t>
      </w:r>
      <w:r w:rsidR="00751D60">
        <w:t>o</w:t>
      </w:r>
      <w:r>
        <w:t xml:space="preserve">ccurring </w:t>
      </w:r>
      <w:r w:rsidR="00751D60">
        <w:t>n</w:t>
      </w:r>
      <w:r>
        <w:t>eeds</w:t>
      </w:r>
    </w:p>
    <w:p w14:paraId="5E9A8943" w14:textId="77777777" w:rsidR="004A6B2A" w:rsidRDefault="004A6B2A" w:rsidP="004A6B2A">
      <w:r>
        <w:t>Of clients who received case management during the COVID-19 period (n=1,129), 1,046 had a contact history and 931 had a safety plan put in place. Of these:</w:t>
      </w:r>
    </w:p>
    <w:p w14:paraId="6990BE28" w14:textId="77777777" w:rsidR="004A6B2A" w:rsidRPr="00751D60" w:rsidRDefault="004A6B2A" w:rsidP="00717082">
      <w:pPr>
        <w:pStyle w:val="ListParagraph"/>
        <w:numPr>
          <w:ilvl w:val="0"/>
          <w:numId w:val="60"/>
        </w:numPr>
      </w:pPr>
      <w:r w:rsidRPr="00751D60">
        <w:t>33.7% reported risk of homelessness (n=353)</w:t>
      </w:r>
    </w:p>
    <w:p w14:paraId="70DBF72B" w14:textId="77777777" w:rsidR="004A6B2A" w:rsidRPr="00751D60" w:rsidRDefault="004A6B2A" w:rsidP="00717082">
      <w:pPr>
        <w:pStyle w:val="ListParagraph"/>
        <w:numPr>
          <w:ilvl w:val="0"/>
          <w:numId w:val="60"/>
        </w:numPr>
      </w:pPr>
      <w:r w:rsidRPr="00751D60">
        <w:t>44.8% reported financial insecurity (n=469)</w:t>
      </w:r>
    </w:p>
    <w:p w14:paraId="41A62960" w14:textId="77777777" w:rsidR="004A6B2A" w:rsidRPr="00751D60" w:rsidRDefault="004A6B2A" w:rsidP="00717082">
      <w:pPr>
        <w:pStyle w:val="ListParagraph"/>
        <w:numPr>
          <w:ilvl w:val="0"/>
          <w:numId w:val="60"/>
        </w:numPr>
      </w:pPr>
      <w:r w:rsidRPr="00751D60">
        <w:t>26.2% reported mental health needs (n=275).</w:t>
      </w:r>
    </w:p>
    <w:p w14:paraId="1E8E325A" w14:textId="77777777" w:rsidR="004A6B2A" w:rsidRDefault="004A6B2A" w:rsidP="004A6B2A">
      <w:r>
        <w:t xml:space="preserve">Risk of homelessness, financial insecurity and mental health needs are always consistently high amongst family violence clients. </w:t>
      </w:r>
    </w:p>
    <w:p w14:paraId="502E5E71" w14:textId="58EFFDE6" w:rsidR="004A6B2A" w:rsidRDefault="004A6B2A" w:rsidP="004A6B2A">
      <w:pPr>
        <w:pStyle w:val="Heading3"/>
      </w:pPr>
      <w:r>
        <w:t xml:space="preserve">Reasons for </w:t>
      </w:r>
      <w:r w:rsidR="00751D60">
        <w:t>s</w:t>
      </w:r>
      <w:r>
        <w:t xml:space="preserve">eeking </w:t>
      </w:r>
      <w:r w:rsidR="00751D60">
        <w:t>a</w:t>
      </w:r>
      <w:r>
        <w:t>ssistance</w:t>
      </w:r>
    </w:p>
    <w:p w14:paraId="1DE9F449" w14:textId="77777777" w:rsidR="004A6B2A" w:rsidRDefault="004A6B2A" w:rsidP="004A6B2A">
      <w:r>
        <w:t>The primary reason why clients came to Good Shepherd’s family violence service seeking help was due to identified family violence (99.9%, n=930). Other reasons for seeking help included:</w:t>
      </w:r>
    </w:p>
    <w:p w14:paraId="334D6931" w14:textId="77777777" w:rsidR="004A6B2A" w:rsidRPr="00751D60" w:rsidRDefault="004A6B2A" w:rsidP="00717082">
      <w:pPr>
        <w:pStyle w:val="ListParagraph"/>
        <w:numPr>
          <w:ilvl w:val="0"/>
          <w:numId w:val="61"/>
        </w:numPr>
      </w:pPr>
      <w:r w:rsidRPr="00751D60">
        <w:t>financial difficulties</w:t>
      </w:r>
      <w:r w:rsidRPr="00751D60" w:rsidDel="00DA4899">
        <w:t xml:space="preserve"> </w:t>
      </w:r>
      <w:r w:rsidRPr="00751D60">
        <w:t>– 11.4% (n=106)</w:t>
      </w:r>
    </w:p>
    <w:p w14:paraId="3BC93A05" w14:textId="77777777" w:rsidR="004A6B2A" w:rsidRPr="00751D60" w:rsidRDefault="004A6B2A" w:rsidP="00717082">
      <w:pPr>
        <w:pStyle w:val="ListParagraph"/>
        <w:numPr>
          <w:ilvl w:val="0"/>
          <w:numId w:val="61"/>
        </w:numPr>
      </w:pPr>
      <w:r w:rsidRPr="00751D60">
        <w:t>relationship or family breakdown</w:t>
      </w:r>
      <w:r w:rsidRPr="00751D60" w:rsidDel="00DA4899">
        <w:t xml:space="preserve"> </w:t>
      </w:r>
      <w:r w:rsidRPr="00751D60">
        <w:t>– 11.0% (n=102)</w:t>
      </w:r>
    </w:p>
    <w:p w14:paraId="31C394A7" w14:textId="77777777" w:rsidR="004A6B2A" w:rsidRPr="00751D60" w:rsidRDefault="004A6B2A" w:rsidP="00717082">
      <w:pPr>
        <w:pStyle w:val="ListParagraph"/>
        <w:numPr>
          <w:ilvl w:val="0"/>
          <w:numId w:val="61"/>
        </w:numPr>
      </w:pPr>
      <w:r w:rsidRPr="00751D60">
        <w:t>mental health issues</w:t>
      </w:r>
      <w:r w:rsidRPr="00751D60" w:rsidDel="00DA4899">
        <w:t xml:space="preserve"> </w:t>
      </w:r>
      <w:r w:rsidRPr="00751D60">
        <w:t>– 7.2% (n=67)</w:t>
      </w:r>
    </w:p>
    <w:p w14:paraId="372AA568" w14:textId="77777777" w:rsidR="004A6B2A" w:rsidRPr="00751D60" w:rsidRDefault="004A6B2A" w:rsidP="00717082">
      <w:pPr>
        <w:pStyle w:val="ListParagraph"/>
        <w:numPr>
          <w:ilvl w:val="0"/>
          <w:numId w:val="61"/>
        </w:numPr>
      </w:pPr>
      <w:r w:rsidRPr="00751D60">
        <w:t>housing affordability stress</w:t>
      </w:r>
      <w:r w:rsidRPr="00751D60" w:rsidDel="00DA4899">
        <w:t xml:space="preserve"> </w:t>
      </w:r>
      <w:r w:rsidRPr="00751D60">
        <w:t>– 5.9% (n=55).</w:t>
      </w:r>
    </w:p>
    <w:p w14:paraId="7A185F58" w14:textId="3444A9A9" w:rsidR="004A6B2A" w:rsidRDefault="004A6B2A" w:rsidP="004A6B2A">
      <w:pPr>
        <w:pStyle w:val="Heading3"/>
      </w:pPr>
      <w:r>
        <w:t xml:space="preserve">Service </w:t>
      </w:r>
      <w:r w:rsidR="00CF12FA">
        <w:t>a</w:t>
      </w:r>
      <w:r>
        <w:t>ccess</w:t>
      </w:r>
    </w:p>
    <w:p w14:paraId="140EA7A3" w14:textId="77777777" w:rsidR="004A6B2A" w:rsidRDefault="004A6B2A" w:rsidP="004A6B2A">
      <w:r w:rsidRPr="003938A9">
        <w:t>Good Shepherd provided support to 2</w:t>
      </w:r>
      <w:r>
        <w:t>,</w:t>
      </w:r>
      <w:r w:rsidRPr="003938A9">
        <w:t xml:space="preserve">807 clients during the COVID-19 period. This is inclusive </w:t>
      </w:r>
      <w:r w:rsidRPr="003938A9" w:rsidDel="00DA4899">
        <w:t>of</w:t>
      </w:r>
      <w:r>
        <w:t>:</w:t>
      </w:r>
    </w:p>
    <w:p w14:paraId="1141C4A7" w14:textId="77777777" w:rsidR="004A6B2A" w:rsidRPr="00CF12FA" w:rsidRDefault="004A6B2A" w:rsidP="00717082">
      <w:pPr>
        <w:pStyle w:val="ListParagraph"/>
        <w:numPr>
          <w:ilvl w:val="0"/>
          <w:numId w:val="62"/>
        </w:numPr>
      </w:pPr>
      <w:r w:rsidRPr="00CF12FA">
        <w:t>case management</w:t>
      </w:r>
    </w:p>
    <w:p w14:paraId="2321E322" w14:textId="77777777" w:rsidR="004A6B2A" w:rsidRPr="00CF12FA" w:rsidRDefault="004A6B2A" w:rsidP="00717082">
      <w:pPr>
        <w:pStyle w:val="ListParagraph"/>
        <w:numPr>
          <w:ilvl w:val="0"/>
          <w:numId w:val="62"/>
        </w:numPr>
      </w:pPr>
      <w:r w:rsidRPr="00CF12FA">
        <w:t xml:space="preserve">after-hours crisis response and </w:t>
      </w:r>
    </w:p>
    <w:p w14:paraId="6613461F" w14:textId="77777777" w:rsidR="004A6B2A" w:rsidRPr="00CF12FA" w:rsidRDefault="004A6B2A" w:rsidP="00717082">
      <w:pPr>
        <w:pStyle w:val="ListParagraph"/>
        <w:numPr>
          <w:ilvl w:val="0"/>
          <w:numId w:val="62"/>
        </w:numPr>
      </w:pPr>
      <w:r w:rsidRPr="00CF12FA">
        <w:t>information and referral support.</w:t>
      </w:r>
    </w:p>
    <w:p w14:paraId="0C760B00" w14:textId="6CF25495" w:rsidR="004A6B2A" w:rsidRDefault="004A6B2A" w:rsidP="004A6B2A">
      <w:pPr>
        <w:pStyle w:val="Heading3"/>
      </w:pPr>
      <w:r>
        <w:t xml:space="preserve">Family </w:t>
      </w:r>
      <w:r w:rsidR="00CF12FA">
        <w:t>v</w:t>
      </w:r>
      <w:r>
        <w:t xml:space="preserve">iolence </w:t>
      </w:r>
      <w:r w:rsidR="00CF12FA">
        <w:t>r</w:t>
      </w:r>
      <w:r>
        <w:t>isk</w:t>
      </w:r>
    </w:p>
    <w:p w14:paraId="2790BC85" w14:textId="77777777" w:rsidR="004A6B2A" w:rsidRDefault="004A6B2A" w:rsidP="004A6B2A">
      <w:r>
        <w:t>Good Shepherd started using the MARAM reporting framework in SHIP in October 2020. A MARAM risk assessment is</w:t>
      </w:r>
      <w:r w:rsidDel="00916225">
        <w:t xml:space="preserve"> </w:t>
      </w:r>
      <w:r>
        <w:t>completed each time a client seeks support. Clients can have more than one risk assessment completed if they engage with the service over an extended period of time.</w:t>
      </w:r>
    </w:p>
    <w:p w14:paraId="769CF2A9" w14:textId="77777777" w:rsidR="004A6B2A" w:rsidRDefault="004A6B2A" w:rsidP="004A6B2A">
      <w:r>
        <w:t xml:space="preserve">Between October 2020 and September 2021, 862 risk assessments were completed. Of the clients with risk assessments: </w:t>
      </w:r>
    </w:p>
    <w:p w14:paraId="7E162E02" w14:textId="77777777" w:rsidR="004A6B2A" w:rsidRPr="00CF12FA" w:rsidRDefault="004A6B2A" w:rsidP="00717082">
      <w:pPr>
        <w:pStyle w:val="ListParagraph"/>
        <w:numPr>
          <w:ilvl w:val="0"/>
          <w:numId w:val="63"/>
        </w:numPr>
      </w:pPr>
      <w:r w:rsidRPr="00CF12FA">
        <w:t>19.6% (n=169) were assessed as being “at risk”</w:t>
      </w:r>
    </w:p>
    <w:p w14:paraId="33F0033B" w14:textId="77777777" w:rsidR="004A6B2A" w:rsidRPr="00CF12FA" w:rsidRDefault="004A6B2A" w:rsidP="00717082">
      <w:pPr>
        <w:pStyle w:val="ListParagraph"/>
        <w:numPr>
          <w:ilvl w:val="0"/>
          <w:numId w:val="63"/>
        </w:numPr>
      </w:pPr>
      <w:r w:rsidRPr="00CF12FA">
        <w:t>37% (n=319) were assessed as being at “elevated risk”</w:t>
      </w:r>
    </w:p>
    <w:p w14:paraId="19B8B5B1" w14:textId="77777777" w:rsidR="004A6B2A" w:rsidRPr="00CF12FA" w:rsidRDefault="004A6B2A" w:rsidP="00717082">
      <w:pPr>
        <w:pStyle w:val="ListParagraph"/>
        <w:numPr>
          <w:ilvl w:val="0"/>
          <w:numId w:val="63"/>
        </w:numPr>
      </w:pPr>
      <w:r w:rsidRPr="00CF12FA">
        <w:t>41% (n=353) were assessed as being at “serious risk”</w:t>
      </w:r>
    </w:p>
    <w:p w14:paraId="5E1F172C" w14:textId="77777777" w:rsidR="004A6B2A" w:rsidRPr="00CF12FA" w:rsidRDefault="004A6B2A" w:rsidP="00717082">
      <w:pPr>
        <w:pStyle w:val="ListParagraph"/>
        <w:numPr>
          <w:ilvl w:val="0"/>
          <w:numId w:val="63"/>
        </w:numPr>
      </w:pPr>
      <w:r w:rsidRPr="00CF12FA">
        <w:t>11.8% (n=102) were assessed as being at “serious risk and requiring immediate protection”.</w:t>
      </w:r>
    </w:p>
    <w:p w14:paraId="69C8E4F3" w14:textId="77777777" w:rsidR="004A6B2A" w:rsidRDefault="004A6B2A" w:rsidP="004A6B2A">
      <w:r>
        <w:t>Referrals that Good Shepherd receives through The Orange Door are already screened and prioritised based on risk and need. The number of clients at serious risk and requiring immediate protection is higher when including refuge data, as compared to outreach groups only.</w:t>
      </w:r>
    </w:p>
    <w:p w14:paraId="5B0422AE" w14:textId="77777777" w:rsidR="004A6B2A" w:rsidRDefault="004A6B2A" w:rsidP="004A6B2A">
      <w:pPr>
        <w:pStyle w:val="Heading3"/>
      </w:pPr>
      <w:r>
        <w:t>Brokerage</w:t>
      </w:r>
    </w:p>
    <w:p w14:paraId="48B35656" w14:textId="77777777" w:rsidR="004A6B2A" w:rsidRDefault="004A6B2A" w:rsidP="004A6B2A">
      <w:r>
        <w:t>While fewer women were accessing brokerage funds during the COVID-19 period, the amount of money that they were able to access increased. The total amount of brokerage funds spent increased by 85% between the periods prior to and during COVID-19, from $120,599 to $223,499.</w:t>
      </w:r>
    </w:p>
    <w:p w14:paraId="2303F504" w14:textId="77777777" w:rsidR="004A6B2A" w:rsidRDefault="004A6B2A" w:rsidP="004A6B2A">
      <w:r>
        <w:t>While there was also an increase in clients, the average amount available to each woman also rose, from $161 prior to COVID-19 to $198 during the COVID-19 period.</w:t>
      </w:r>
      <w:r w:rsidDel="00F90388">
        <w:t xml:space="preserve"> </w:t>
      </w:r>
      <w:r>
        <w:t>This represented a 23% increase in available funds per client. This average amount does not reflect the value of brokerage provided to each woman, however, as brokerage funds are provided on an as-needed basis and therefore the amounts can vary widely.</w:t>
      </w:r>
    </w:p>
    <w:p w14:paraId="69DB50C6" w14:textId="77777777" w:rsidR="004A6B2A" w:rsidRDefault="004A6B2A" w:rsidP="004A6B2A">
      <w:r>
        <w:t xml:space="preserve">The percentage expended in the five categories reported were fairly stable except for the ‘other’ category, which </w:t>
      </w:r>
      <w:r w:rsidDel="00430673">
        <w:t>includes</w:t>
      </w:r>
      <w:r>
        <w:t>:</w:t>
      </w:r>
    </w:p>
    <w:p w14:paraId="1DB6B039" w14:textId="77777777" w:rsidR="004A6B2A" w:rsidRPr="00CF12FA" w:rsidRDefault="004A6B2A" w:rsidP="00717082">
      <w:pPr>
        <w:pStyle w:val="ListParagraph"/>
        <w:numPr>
          <w:ilvl w:val="0"/>
          <w:numId w:val="64"/>
        </w:numPr>
      </w:pPr>
      <w:r w:rsidRPr="00CF12FA">
        <w:t>childcare</w:t>
      </w:r>
    </w:p>
    <w:p w14:paraId="04932A97" w14:textId="77777777" w:rsidR="004A6B2A" w:rsidRPr="00CF12FA" w:rsidRDefault="004A6B2A" w:rsidP="00717082">
      <w:pPr>
        <w:pStyle w:val="ListParagraph"/>
        <w:numPr>
          <w:ilvl w:val="0"/>
          <w:numId w:val="64"/>
        </w:numPr>
      </w:pPr>
      <w:r w:rsidRPr="00CF12FA">
        <w:t>medical or pharmaceutical needs</w:t>
      </w:r>
    </w:p>
    <w:p w14:paraId="1CD598F5" w14:textId="77777777" w:rsidR="004A6B2A" w:rsidRPr="00CF12FA" w:rsidRDefault="004A6B2A" w:rsidP="00717082">
      <w:pPr>
        <w:pStyle w:val="ListParagraph"/>
        <w:numPr>
          <w:ilvl w:val="0"/>
          <w:numId w:val="64"/>
        </w:numPr>
      </w:pPr>
      <w:r w:rsidRPr="00CF12FA">
        <w:t>health and wellbeing supports</w:t>
      </w:r>
    </w:p>
    <w:p w14:paraId="4959A806" w14:textId="77777777" w:rsidR="004A6B2A" w:rsidRPr="00CF12FA" w:rsidRDefault="004A6B2A" w:rsidP="00717082">
      <w:pPr>
        <w:pStyle w:val="ListParagraph"/>
        <w:numPr>
          <w:ilvl w:val="0"/>
          <w:numId w:val="64"/>
        </w:numPr>
      </w:pPr>
      <w:r w:rsidRPr="00CF12FA">
        <w:t>travel or commuting</w:t>
      </w:r>
    </w:p>
    <w:p w14:paraId="0F8FD0CA" w14:textId="77777777" w:rsidR="004A6B2A" w:rsidRPr="00CF12FA" w:rsidRDefault="004A6B2A" w:rsidP="00717082">
      <w:pPr>
        <w:pStyle w:val="ListParagraph"/>
        <w:numPr>
          <w:ilvl w:val="0"/>
          <w:numId w:val="64"/>
        </w:numPr>
      </w:pPr>
      <w:r w:rsidRPr="00CF12FA">
        <w:t>legal services.</w:t>
      </w:r>
    </w:p>
    <w:p w14:paraId="1B498A5C" w14:textId="77777777" w:rsidR="004A6B2A" w:rsidRDefault="004A6B2A" w:rsidP="004A6B2A">
      <w:r>
        <w:t>The percentage of brokerage funds for the ‘other’ category rose from 6% prior to COVID-19 to 18% during COVID-19.</w:t>
      </w:r>
      <w:r w:rsidDel="009C14E5">
        <w:t xml:space="preserve"> </w:t>
      </w:r>
      <w:r>
        <w:t>As this category includes so many types of expenditure, the reason for this increase is not clear.</w:t>
      </w:r>
    </w:p>
    <w:p w14:paraId="6642DC00" w14:textId="07BE7C26" w:rsidR="003F4E7F" w:rsidRDefault="001025D7" w:rsidP="004A6B2A">
      <w:r>
        <w:t xml:space="preserve">Between </w:t>
      </w:r>
      <w:r w:rsidR="00474A43">
        <w:t xml:space="preserve">the two time periods this case study examines, </w:t>
      </w:r>
      <w:r w:rsidR="003F4E7F">
        <w:t xml:space="preserve">Good Shepherd </w:t>
      </w:r>
      <w:r>
        <w:t xml:space="preserve">recorded </w:t>
      </w:r>
      <w:r w:rsidR="003F4E7F">
        <w:t xml:space="preserve">the following </w:t>
      </w:r>
      <w:r>
        <w:t xml:space="preserve">changes in </w:t>
      </w:r>
      <w:r w:rsidR="003F4E7F">
        <w:t xml:space="preserve">brokerage </w:t>
      </w:r>
      <w:r w:rsidR="00474A43">
        <w:t>funds</w:t>
      </w:r>
      <w:r>
        <w:t xml:space="preserve"> spent:</w:t>
      </w:r>
    </w:p>
    <w:p w14:paraId="0595DC41" w14:textId="6057A9C7" w:rsidR="005A4752" w:rsidRDefault="001025D7" w:rsidP="00717082">
      <w:pPr>
        <w:pStyle w:val="ListParagraph"/>
        <w:numPr>
          <w:ilvl w:val="0"/>
          <w:numId w:val="90"/>
        </w:numPr>
      </w:pPr>
      <w:r>
        <w:t>food, clothes, phones or computers increased from $80,055 (66.3% of brokerage) to $147,267 (65.8% of brokerage)</w:t>
      </w:r>
    </w:p>
    <w:p w14:paraId="40B20C87" w14:textId="3C535B7D" w:rsidR="005A4752" w:rsidRDefault="001025D7" w:rsidP="00717082">
      <w:pPr>
        <w:pStyle w:val="ListParagraph"/>
        <w:numPr>
          <w:ilvl w:val="0"/>
          <w:numId w:val="90"/>
        </w:numPr>
      </w:pPr>
      <w:r>
        <w:t>housing</w:t>
      </w:r>
      <w:r>
        <w:rPr>
          <w:rStyle w:val="FootnoteReference"/>
        </w:rPr>
        <w:footnoteReference w:id="2"/>
      </w:r>
      <w:r>
        <w:t xml:space="preserve"> increased from $11,205 (9.2%) to $21,858 (9.7%)</w:t>
      </w:r>
    </w:p>
    <w:p w14:paraId="355424E1" w14:textId="77777777" w:rsidR="001025D7" w:rsidRDefault="001025D7" w:rsidP="00717082">
      <w:pPr>
        <w:pStyle w:val="ListParagraph"/>
        <w:numPr>
          <w:ilvl w:val="0"/>
          <w:numId w:val="91"/>
        </w:numPr>
      </w:pPr>
      <w:r w:rsidRPr="00F62B3A">
        <w:t>other</w:t>
      </w:r>
      <w:r>
        <w:t xml:space="preserve"> brokerage</w:t>
      </w:r>
      <w:r>
        <w:rPr>
          <w:rStyle w:val="FootnoteReference"/>
        </w:rPr>
        <w:footnoteReference w:id="3"/>
      </w:r>
      <w:r w:rsidRPr="00F62B3A">
        <w:t xml:space="preserve"> </w:t>
      </w:r>
      <w:r>
        <w:t xml:space="preserve">increased from </w:t>
      </w:r>
      <w:r w:rsidRPr="00D10209">
        <w:t>$7,782</w:t>
      </w:r>
      <w:r>
        <w:t xml:space="preserve"> (6.4%) to </w:t>
      </w:r>
      <w:r w:rsidRPr="00D10209">
        <w:t>$39,685</w:t>
      </w:r>
      <w:r>
        <w:t xml:space="preserve"> (17.7%)</w:t>
      </w:r>
    </w:p>
    <w:p w14:paraId="0AFD598A" w14:textId="43B2CFC4" w:rsidR="000B4035" w:rsidRDefault="001025D7" w:rsidP="00717082">
      <w:pPr>
        <w:pStyle w:val="ListParagraph"/>
        <w:numPr>
          <w:ilvl w:val="0"/>
          <w:numId w:val="90"/>
        </w:numPr>
      </w:pPr>
      <w:r>
        <w:t xml:space="preserve">personal safety measures increased from </w:t>
      </w:r>
      <w:r w:rsidRPr="00D10209">
        <w:t>$4,928</w:t>
      </w:r>
      <w:r>
        <w:t xml:space="preserve"> (4.1%) to </w:t>
      </w:r>
      <w:r w:rsidRPr="00D10209">
        <w:t>$13,215</w:t>
      </w:r>
      <w:r>
        <w:t xml:space="preserve"> (5.9%).</w:t>
      </w:r>
    </w:p>
    <w:p w14:paraId="3DD96E97" w14:textId="786B18B3" w:rsidR="001025D7" w:rsidRDefault="001025D7" w:rsidP="001025D7">
      <w:r>
        <w:t>Prior to COVID-19, 15% of brokerage ($16,629) was for unspecified costs. There are no recorded unspecified costs during COVID-19.</w:t>
      </w:r>
    </w:p>
    <w:p w14:paraId="64A6DE59" w14:textId="1B6216DF" w:rsidR="00F015B1" w:rsidRDefault="006735BE" w:rsidP="006735BE">
      <w:r>
        <w:t xml:space="preserve">In total, </w:t>
      </w:r>
      <w:r w:rsidRPr="00D10209">
        <w:t>$120,599</w:t>
      </w:r>
      <w:r>
        <w:t xml:space="preserve"> was spent</w:t>
      </w:r>
      <w:r w:rsidR="00CD23B6">
        <w:t xml:space="preserve"> in the period prior to COVID-19 and </w:t>
      </w:r>
      <w:r w:rsidR="00CD23B6" w:rsidRPr="00D10209">
        <w:t>$223,499</w:t>
      </w:r>
      <w:r w:rsidR="00CD23B6">
        <w:t xml:space="preserve"> was spent</w:t>
      </w:r>
      <w:r w:rsidR="00EF2059">
        <w:t xml:space="preserve"> in the period during COVID-19. </w:t>
      </w:r>
    </w:p>
    <w:p w14:paraId="7739AE6D" w14:textId="77777777" w:rsidR="0065031F" w:rsidRDefault="0065031F">
      <w:pPr>
        <w:spacing w:line="259" w:lineRule="auto"/>
        <w:rPr>
          <w:rFonts w:eastAsiaTheme="majorEastAsia" w:cs="Assistant SemiBold"/>
          <w:b/>
          <w:color w:val="323E4F" w:themeColor="text2" w:themeShade="BF"/>
          <w:sz w:val="44"/>
          <w:szCs w:val="40"/>
        </w:rPr>
      </w:pPr>
      <w:bookmarkStart w:id="43" w:name="_Toc95734893"/>
      <w:r>
        <w:br w:type="page"/>
      </w:r>
    </w:p>
    <w:p w14:paraId="181F7C6F" w14:textId="62447497" w:rsidR="004A6B2A" w:rsidRDefault="004A6B2A" w:rsidP="004A6B2A">
      <w:pPr>
        <w:pStyle w:val="Heading2"/>
      </w:pPr>
      <w:bookmarkStart w:id="44" w:name="_Toc98760943"/>
      <w:r>
        <w:t>Demographics</w:t>
      </w:r>
      <w:bookmarkEnd w:id="43"/>
      <w:bookmarkEnd w:id="44"/>
    </w:p>
    <w:p w14:paraId="0AF56C25" w14:textId="77777777" w:rsidR="004A6B2A" w:rsidRDefault="004A6B2A" w:rsidP="004A6B2A">
      <w:r w:rsidRPr="00F833BA">
        <w:t xml:space="preserve">Good Shepherd supports women and children who are </w:t>
      </w:r>
      <w:r w:rsidRPr="00F833BA" w:rsidDel="00391B15">
        <w:t>victim</w:t>
      </w:r>
      <w:r>
        <w:t>-</w:t>
      </w:r>
      <w:r w:rsidRPr="00F833BA">
        <w:t xml:space="preserve">survivors of family violence. </w:t>
      </w:r>
      <w:r>
        <w:t>Just under 15% of clients were male (14.7%, n=414), reflecting the children of women coming for services. A gendered analysis was therefore not conducted. The number of clients who identified as members of LGBTIQ+ communities were too small to determine any meaningful trends, so an analysis based on LGBTIQ+ status was also not conducted.</w:t>
      </w:r>
    </w:p>
    <w:p w14:paraId="0442754D" w14:textId="77777777" w:rsidR="004A6B2A" w:rsidRDefault="004A6B2A" w:rsidP="004A6B2A">
      <w:r>
        <w:t>A very small number of clients (3.4%, n=97) were aged over 55. Older clients were 32% more likely to have a reported mental health need than younger clients. They were also slightly more likely (by 15%) to have a reported financial security need. Financial difficulties were also more likely to be listed as a reason for seeking help, at 21%, which was 36% higher than for clients aged under 55.</w:t>
      </w:r>
    </w:p>
    <w:p w14:paraId="049AC4BF" w14:textId="77777777" w:rsidR="004A6B2A" w:rsidRDefault="004A6B2A" w:rsidP="004A6B2A">
      <w:r>
        <w:t>In contrast, the number of clients aged under 25</w:t>
      </w:r>
      <w:r w:rsidDel="00B12456">
        <w:t xml:space="preserve"> </w:t>
      </w:r>
      <w:r>
        <w:t>was comparatively high, at 28.6% of the whole (n=803). This reflects incidences of family violence between young couples, clients who are young mothers, and children coming into services. Younger clients reported lower incidences of risk of homelessness (by 43%), financial insecurity (by 26%) and mental health needs (by 99%) than clients aged 25 and over. As this cohort includes children, for whom data was not collected individually, these figures may instead reflect the needs of their parents.</w:t>
      </w:r>
    </w:p>
    <w:p w14:paraId="407A8896" w14:textId="77777777" w:rsidR="004A6B2A" w:rsidRDefault="004A6B2A" w:rsidP="004A6B2A">
      <w:r>
        <w:t xml:space="preserve">Clients who were recorded as living with disabilities made up 6.8% of the whole client base (n=192). Their recorded mental health needs were 34% higher than for clients without </w:t>
      </w:r>
      <w:r w:rsidDel="003C0358">
        <w:t xml:space="preserve">a </w:t>
      </w:r>
      <w:r>
        <w:t xml:space="preserve">disability, while their risk of homelessness was 23% lower than for those without </w:t>
      </w:r>
      <w:r w:rsidDel="003C0358">
        <w:t xml:space="preserve">a </w:t>
      </w:r>
      <w:r>
        <w:t>disability.</w:t>
      </w:r>
    </w:p>
    <w:p w14:paraId="37D6BAFC" w14:textId="77777777" w:rsidR="004A6B2A" w:rsidRDefault="004A6B2A" w:rsidP="004A6B2A">
      <w:r>
        <w:t xml:space="preserve">Slightly over 30% of clients (30.2%, n=848) were single parents. Single parents were more likely to be identified as being at risk of homelessness (by 38%) and as experiencing financial insecurity (by 40%). This cohort was also slightly more likely to be seeking help </w:t>
      </w:r>
      <w:r w:rsidDel="00875217">
        <w:t>for</w:t>
      </w:r>
      <w:r>
        <w:t>:</w:t>
      </w:r>
    </w:p>
    <w:p w14:paraId="43D01CE1" w14:textId="77777777" w:rsidR="004A6B2A" w:rsidRPr="00CF12FA" w:rsidRDefault="004A6B2A" w:rsidP="00717082">
      <w:pPr>
        <w:pStyle w:val="ListParagraph"/>
        <w:numPr>
          <w:ilvl w:val="0"/>
          <w:numId w:val="65"/>
        </w:numPr>
      </w:pPr>
      <w:r w:rsidRPr="00CF12FA">
        <w:t>financial difficulties – 16.6%, compared to 11.1% of clients who were not single parents</w:t>
      </w:r>
    </w:p>
    <w:p w14:paraId="21F0BA95" w14:textId="77777777" w:rsidR="004A6B2A" w:rsidRPr="00CF12FA" w:rsidRDefault="004A6B2A" w:rsidP="00717082">
      <w:pPr>
        <w:pStyle w:val="ListParagraph"/>
        <w:numPr>
          <w:ilvl w:val="0"/>
          <w:numId w:val="65"/>
        </w:numPr>
      </w:pPr>
      <w:r w:rsidRPr="00CF12FA">
        <w:t>relationship or family breakdown – 14.5%, compared to 11.4% of clients who were not single parents.</w:t>
      </w:r>
    </w:p>
    <w:p w14:paraId="2B32AD9D" w14:textId="77777777" w:rsidR="004A6B2A" w:rsidRDefault="004A6B2A" w:rsidP="004A6B2A">
      <w:r>
        <w:t>The vast majority of clients (83.1%, n=1,243) spoke English as their first language. Of the 251 clients (16.8%) who did not speak English as their first language, there were high numbers who:</w:t>
      </w:r>
    </w:p>
    <w:p w14:paraId="523B1E73" w14:textId="77777777" w:rsidR="004A6B2A" w:rsidRPr="00CF133D" w:rsidRDefault="004A6B2A" w:rsidP="00717082">
      <w:pPr>
        <w:pStyle w:val="ListParagraph"/>
        <w:numPr>
          <w:ilvl w:val="0"/>
          <w:numId w:val="66"/>
        </w:numPr>
      </w:pPr>
      <w:r w:rsidRPr="00CF133D">
        <w:t>experienced financial insecurity – 60.5%, compared to 45% of clients whose first language was English</w:t>
      </w:r>
    </w:p>
    <w:p w14:paraId="410C0761" w14:textId="77777777" w:rsidR="004A6B2A" w:rsidRPr="00CF133D" w:rsidRDefault="004A6B2A" w:rsidP="00717082">
      <w:pPr>
        <w:pStyle w:val="ListParagraph"/>
        <w:numPr>
          <w:ilvl w:val="0"/>
          <w:numId w:val="66"/>
        </w:numPr>
      </w:pPr>
      <w:r w:rsidRPr="00CF133D">
        <w:t>were considered to be at risk of homelessness –</w:t>
      </w:r>
      <w:r w:rsidRPr="00CF133D" w:rsidDel="00AD6A00">
        <w:t xml:space="preserve"> </w:t>
      </w:r>
      <w:r w:rsidRPr="00CF133D">
        <w:t>56.1%, compared to 31% of clients whose first language was English.</w:t>
      </w:r>
    </w:p>
    <w:p w14:paraId="0583F9C5" w14:textId="7BAEEC06" w:rsidR="004A6B2A" w:rsidRDefault="004A6B2A" w:rsidP="004A6B2A">
      <w:pPr>
        <w:pStyle w:val="Heading3"/>
      </w:pPr>
      <w:r>
        <w:t xml:space="preserve">Clients by </w:t>
      </w:r>
      <w:r w:rsidR="00CF133D">
        <w:t>g</w:t>
      </w:r>
      <w:r>
        <w:t xml:space="preserve">ender and </w:t>
      </w:r>
      <w:r w:rsidR="00CF133D">
        <w:t>s</w:t>
      </w:r>
      <w:r>
        <w:t>exuality</w:t>
      </w:r>
    </w:p>
    <w:p w14:paraId="3311B2C4" w14:textId="77777777" w:rsidR="004A6B2A" w:rsidRDefault="004A6B2A" w:rsidP="004A6B2A">
      <w:r>
        <w:t xml:space="preserve">A full analysis by gender is not provided here, as Good Shepherd’s male clients are exclusively children accompanying a woman accessing a service. Similarly, due to the low numbers of clients who identified themselves as LGBTIQ+, analysis by sexuality, trans or gender diverse status, or intersex status would not be meaningful. </w:t>
      </w:r>
    </w:p>
    <w:p w14:paraId="4903C585" w14:textId="77777777" w:rsidR="004A6B2A" w:rsidRDefault="004A6B2A" w:rsidP="004A6B2A">
      <w:r>
        <w:t xml:space="preserve">Of the clients Good Shepherd saw in this period: </w:t>
      </w:r>
    </w:p>
    <w:p w14:paraId="30BD61A0" w14:textId="77777777" w:rsidR="004A6B2A" w:rsidRPr="00CF133D" w:rsidRDefault="004A6B2A" w:rsidP="00717082">
      <w:pPr>
        <w:pStyle w:val="ListParagraph"/>
        <w:numPr>
          <w:ilvl w:val="0"/>
          <w:numId w:val="67"/>
        </w:numPr>
      </w:pPr>
      <w:r w:rsidRPr="00CF133D">
        <w:t>61.8% (n=1,735) were female</w:t>
      </w:r>
    </w:p>
    <w:p w14:paraId="6C56F696" w14:textId="77777777" w:rsidR="004A6B2A" w:rsidRPr="00CF133D" w:rsidRDefault="004A6B2A" w:rsidP="00717082">
      <w:pPr>
        <w:pStyle w:val="ListParagraph"/>
        <w:numPr>
          <w:ilvl w:val="0"/>
          <w:numId w:val="67"/>
        </w:numPr>
      </w:pPr>
      <w:r w:rsidRPr="00CF133D">
        <w:t>14.7% (n=414) were male</w:t>
      </w:r>
    </w:p>
    <w:p w14:paraId="5F3ED2EC" w14:textId="77777777" w:rsidR="004A6B2A" w:rsidRPr="00CF133D" w:rsidRDefault="004A6B2A" w:rsidP="00717082">
      <w:pPr>
        <w:pStyle w:val="ListParagraph"/>
        <w:numPr>
          <w:ilvl w:val="0"/>
          <w:numId w:val="67"/>
        </w:numPr>
      </w:pPr>
      <w:r w:rsidRPr="00CF133D">
        <w:t>2 were non-binary.</w:t>
      </w:r>
    </w:p>
    <w:p w14:paraId="082EA073" w14:textId="77777777" w:rsidR="004A6B2A" w:rsidRDefault="004A6B2A" w:rsidP="004A6B2A">
      <w:r>
        <w:t>In terms of sexuality:</w:t>
      </w:r>
    </w:p>
    <w:p w14:paraId="7FCE00CA" w14:textId="77777777" w:rsidR="004A6B2A" w:rsidRPr="00CF133D" w:rsidRDefault="004A6B2A" w:rsidP="00717082">
      <w:pPr>
        <w:pStyle w:val="ListParagraph"/>
        <w:numPr>
          <w:ilvl w:val="0"/>
          <w:numId w:val="68"/>
        </w:numPr>
      </w:pPr>
      <w:r w:rsidRPr="00CF133D">
        <w:t>1 client was asexual</w:t>
      </w:r>
    </w:p>
    <w:p w14:paraId="1D013B3F" w14:textId="77777777" w:rsidR="004A6B2A" w:rsidRPr="00CF133D" w:rsidRDefault="004A6B2A" w:rsidP="00717082">
      <w:pPr>
        <w:pStyle w:val="ListParagraph"/>
        <w:numPr>
          <w:ilvl w:val="0"/>
          <w:numId w:val="68"/>
        </w:numPr>
      </w:pPr>
      <w:r w:rsidRPr="00CF133D">
        <w:t>14 clients were bisexual or pansexual</w:t>
      </w:r>
    </w:p>
    <w:p w14:paraId="534AAF16" w14:textId="77777777" w:rsidR="004A6B2A" w:rsidRPr="00CF133D" w:rsidRDefault="004A6B2A" w:rsidP="00717082">
      <w:pPr>
        <w:pStyle w:val="ListParagraph"/>
        <w:numPr>
          <w:ilvl w:val="0"/>
          <w:numId w:val="68"/>
        </w:numPr>
      </w:pPr>
      <w:r w:rsidRPr="00CF133D">
        <w:t>4 clients were lesbian or gay</w:t>
      </w:r>
    </w:p>
    <w:p w14:paraId="732BB89B" w14:textId="77777777" w:rsidR="004A6B2A" w:rsidRPr="00CF133D" w:rsidRDefault="004A6B2A" w:rsidP="00717082">
      <w:pPr>
        <w:pStyle w:val="ListParagraph"/>
        <w:numPr>
          <w:ilvl w:val="0"/>
          <w:numId w:val="68"/>
        </w:numPr>
      </w:pPr>
      <w:r w:rsidRPr="00CF133D">
        <w:t>2 clients preferred not to disclose their sexuality.</w:t>
      </w:r>
    </w:p>
    <w:p w14:paraId="6F55F570" w14:textId="5D6E2416" w:rsidR="004A6B2A" w:rsidRDefault="004A6B2A" w:rsidP="004A6B2A">
      <w:pPr>
        <w:pStyle w:val="Heading3"/>
      </w:pPr>
      <w:r>
        <w:t xml:space="preserve">Clients </w:t>
      </w:r>
      <w:r w:rsidR="00CF133D">
        <w:t>a</w:t>
      </w:r>
      <w:r>
        <w:t xml:space="preserve">ged </w:t>
      </w:r>
      <w:r w:rsidR="00CF133D">
        <w:t>o</w:t>
      </w:r>
      <w:r>
        <w:t>ver 55</w:t>
      </w:r>
    </w:p>
    <w:p w14:paraId="4FB5AF84" w14:textId="77777777" w:rsidR="004A6B2A" w:rsidRDefault="004A6B2A" w:rsidP="004A6B2A">
      <w:r>
        <w:t xml:space="preserve">The number of older clients was comparatively low for the entire client base during the COVID-19 period, at only 3.4% (n=97). </w:t>
      </w:r>
      <w:r w:rsidRPr="005874C0">
        <w:t>The Orange Door refers older women to specialised services, which may partially explain the low numbers.</w:t>
      </w:r>
    </w:p>
    <w:p w14:paraId="081B2F1A" w14:textId="182EB225" w:rsidR="004A6B2A" w:rsidRDefault="004A6B2A" w:rsidP="004A6B2A">
      <w:pPr>
        <w:pStyle w:val="Heading4"/>
      </w:pPr>
      <w:r>
        <w:t>Co-</w:t>
      </w:r>
      <w:r w:rsidR="00C96AEC">
        <w:t>o</w:t>
      </w:r>
      <w:r>
        <w:t xml:space="preserve">ccurring </w:t>
      </w:r>
      <w:r w:rsidR="00C96AEC">
        <w:t>n</w:t>
      </w:r>
      <w:r>
        <w:t>eeds</w:t>
      </w:r>
    </w:p>
    <w:p w14:paraId="15EAAB40" w14:textId="77777777" w:rsidR="004A6B2A" w:rsidRDefault="004A6B2A" w:rsidP="004A6B2A">
      <w:r>
        <w:t>Of Good Shepherd’s clients aged 55 and over:</w:t>
      </w:r>
    </w:p>
    <w:p w14:paraId="66B86F91" w14:textId="77777777" w:rsidR="004A6B2A" w:rsidRPr="00CF133D" w:rsidRDefault="004A6B2A" w:rsidP="00717082">
      <w:pPr>
        <w:pStyle w:val="ListParagraph"/>
        <w:numPr>
          <w:ilvl w:val="0"/>
          <w:numId w:val="69"/>
        </w:numPr>
      </w:pPr>
      <w:r w:rsidRPr="00CF133D">
        <w:t>26.8% (n=26) reported risk of homelessness, which was 18.7% lower than for clients aged under 55 (31.8%)</w:t>
      </w:r>
    </w:p>
    <w:p w14:paraId="4C9D0C27" w14:textId="77777777" w:rsidR="004A6B2A" w:rsidRPr="00CF133D" w:rsidRDefault="004A6B2A" w:rsidP="00717082">
      <w:pPr>
        <w:pStyle w:val="ListParagraph"/>
        <w:numPr>
          <w:ilvl w:val="0"/>
          <w:numId w:val="69"/>
        </w:numPr>
      </w:pPr>
      <w:r w:rsidRPr="00CF133D">
        <w:t>49.4% (n=48) reported financial security needs, which was 15% higher than for clients aged under 55 (42.1%)</w:t>
      </w:r>
    </w:p>
    <w:p w14:paraId="3FE82563" w14:textId="77777777" w:rsidR="004A6B2A" w:rsidRPr="00CF133D" w:rsidRDefault="004A6B2A" w:rsidP="00717082">
      <w:pPr>
        <w:pStyle w:val="ListParagraph"/>
        <w:numPr>
          <w:ilvl w:val="0"/>
          <w:numId w:val="69"/>
        </w:numPr>
      </w:pPr>
      <w:r w:rsidRPr="00CF133D">
        <w:t xml:space="preserve">32.9% (n=32) reported mental health needs, which was 32% higher than for clients aged under 55 (22.3%). </w:t>
      </w:r>
    </w:p>
    <w:p w14:paraId="47EF0C0C" w14:textId="2A993AF5" w:rsidR="004A6B2A" w:rsidRDefault="004A6B2A" w:rsidP="004A6B2A">
      <w:pPr>
        <w:pStyle w:val="Heading4"/>
      </w:pPr>
      <w:r w:rsidRPr="000C269A">
        <w:t xml:space="preserve">Primary </w:t>
      </w:r>
      <w:r w:rsidR="00C96AEC">
        <w:t>r</w:t>
      </w:r>
      <w:r w:rsidRPr="000C269A">
        <w:t xml:space="preserve">easons for </w:t>
      </w:r>
      <w:r w:rsidR="00C96AEC">
        <w:t>s</w:t>
      </w:r>
      <w:r w:rsidRPr="000C269A">
        <w:t xml:space="preserve">eeking </w:t>
      </w:r>
      <w:r w:rsidR="00C96AEC">
        <w:t>a</w:t>
      </w:r>
      <w:r w:rsidRPr="000C269A">
        <w:t>ssistance</w:t>
      </w:r>
      <w:r>
        <w:t xml:space="preserve"> </w:t>
      </w:r>
    </w:p>
    <w:p w14:paraId="38AE1455" w14:textId="77777777" w:rsidR="004A6B2A" w:rsidRDefault="004A6B2A" w:rsidP="004A6B2A">
      <w:r>
        <w:t xml:space="preserve">For clients aged 55 and over, their primary reasons for seeking support were: </w:t>
      </w:r>
    </w:p>
    <w:p w14:paraId="094ED0E8" w14:textId="77777777" w:rsidR="004A6B2A" w:rsidRPr="00C96AEC" w:rsidRDefault="004A6B2A" w:rsidP="00717082">
      <w:pPr>
        <w:pStyle w:val="ListParagraph"/>
        <w:numPr>
          <w:ilvl w:val="0"/>
          <w:numId w:val="70"/>
        </w:numPr>
      </w:pPr>
      <w:r w:rsidRPr="00C96AEC">
        <w:t>family violence – 97.4% (n=76), which was similar to clients aged under 55 (99.4%)</w:t>
      </w:r>
    </w:p>
    <w:p w14:paraId="2FB10775" w14:textId="77777777" w:rsidR="004A6B2A" w:rsidRPr="00C96AEC" w:rsidRDefault="004A6B2A" w:rsidP="00717082">
      <w:pPr>
        <w:pStyle w:val="ListParagraph"/>
        <w:numPr>
          <w:ilvl w:val="0"/>
          <w:numId w:val="70"/>
        </w:numPr>
      </w:pPr>
      <w:r w:rsidRPr="00C96AEC">
        <w:t>financial difficulties – 20.5% (n=16), which was 35.6% higher than for clients aged under 55 (13.2%)</w:t>
      </w:r>
    </w:p>
    <w:p w14:paraId="3577EFAB" w14:textId="77777777" w:rsidR="004A6B2A" w:rsidRPr="00C96AEC" w:rsidRDefault="004A6B2A" w:rsidP="00717082">
      <w:pPr>
        <w:pStyle w:val="ListParagraph"/>
        <w:numPr>
          <w:ilvl w:val="0"/>
          <w:numId w:val="70"/>
        </w:numPr>
      </w:pPr>
      <w:r w:rsidRPr="00C96AEC">
        <w:t>relationship or family breakdown – 15.4% (n=12), which was similar to clients aged under 55 (12.7%).</w:t>
      </w:r>
    </w:p>
    <w:p w14:paraId="553236A1" w14:textId="38B18D64" w:rsidR="004A6B2A" w:rsidRDefault="004A6B2A" w:rsidP="004A6B2A">
      <w:pPr>
        <w:pStyle w:val="Heading3"/>
      </w:pPr>
      <w:r>
        <w:t xml:space="preserve">Clients </w:t>
      </w:r>
      <w:r w:rsidR="00C96AEC">
        <w:t>a</w:t>
      </w:r>
      <w:r>
        <w:t xml:space="preserve">ged </w:t>
      </w:r>
      <w:r w:rsidR="00C96AEC">
        <w:t>u</w:t>
      </w:r>
      <w:r>
        <w:t>nder 25</w:t>
      </w:r>
    </w:p>
    <w:p w14:paraId="0266B195" w14:textId="77777777" w:rsidR="004A6B2A" w:rsidRDefault="004A6B2A" w:rsidP="004A6B2A">
      <w:r>
        <w:t>A significant portion of the client base included those aged under 25</w:t>
      </w:r>
      <w:r w:rsidDel="00401575">
        <w:t xml:space="preserve"> </w:t>
      </w:r>
      <w:r>
        <w:t xml:space="preserve">(28.6%, n=803), however this also includes accompanying children. This should be kept in mind as the inclusion of children may skew the data. </w:t>
      </w:r>
    </w:p>
    <w:p w14:paraId="38B7549B" w14:textId="048AB1B6" w:rsidR="004A6B2A" w:rsidRDefault="004A6B2A" w:rsidP="004A6B2A">
      <w:pPr>
        <w:pStyle w:val="Heading4"/>
      </w:pPr>
      <w:r>
        <w:t>Co-</w:t>
      </w:r>
      <w:r w:rsidR="00C96AEC">
        <w:t>o</w:t>
      </w:r>
      <w:r>
        <w:t xml:space="preserve">ccurring </w:t>
      </w:r>
      <w:r w:rsidR="00C96AEC">
        <w:t>n</w:t>
      </w:r>
      <w:r>
        <w:t>eeds</w:t>
      </w:r>
    </w:p>
    <w:p w14:paraId="6C358FFB" w14:textId="77777777" w:rsidR="004A6B2A" w:rsidRDefault="004A6B2A" w:rsidP="004A6B2A">
      <w:r>
        <w:t xml:space="preserve">Of Good Shepherd’s clients aged under 25: </w:t>
      </w:r>
    </w:p>
    <w:p w14:paraId="5DE18093" w14:textId="77777777" w:rsidR="004A6B2A" w:rsidRPr="00C96AEC" w:rsidRDefault="004A6B2A" w:rsidP="00717082">
      <w:pPr>
        <w:pStyle w:val="ListParagraph"/>
        <w:numPr>
          <w:ilvl w:val="0"/>
          <w:numId w:val="71"/>
        </w:numPr>
      </w:pPr>
      <w:r w:rsidRPr="00C96AEC">
        <w:t xml:space="preserve">24.2% (n=195) reported risk of homelessness, which was 43% lower than that reported by clients aged 25 and over (34.6%) </w:t>
      </w:r>
    </w:p>
    <w:p w14:paraId="2F0E72ED" w14:textId="77777777" w:rsidR="004A6B2A" w:rsidRPr="00C96AEC" w:rsidRDefault="004A6B2A" w:rsidP="00717082">
      <w:pPr>
        <w:pStyle w:val="ListParagraph"/>
        <w:numPr>
          <w:ilvl w:val="0"/>
          <w:numId w:val="71"/>
        </w:numPr>
      </w:pPr>
      <w:r w:rsidRPr="00C96AEC">
        <w:t>35.8% (n=288) reported financial insecurity, which was 26% lower than for clients aged 25 and over (45%)</w:t>
      </w:r>
    </w:p>
    <w:p w14:paraId="585BBAAC" w14:textId="77777777" w:rsidR="004A6B2A" w:rsidRPr="00C96AEC" w:rsidRDefault="004A6B2A" w:rsidP="00717082">
      <w:pPr>
        <w:pStyle w:val="ListParagraph"/>
        <w:numPr>
          <w:ilvl w:val="0"/>
          <w:numId w:val="71"/>
        </w:numPr>
      </w:pPr>
      <w:r w:rsidRPr="00C96AEC">
        <w:t>13.3% (n=107) reported mental health needs, which was 98.5% lower than for clients aged 25 and over (26.4%).</w:t>
      </w:r>
    </w:p>
    <w:p w14:paraId="52154AC0" w14:textId="2B9A08C1" w:rsidR="004A6B2A" w:rsidRDefault="004A6B2A" w:rsidP="004A6B2A">
      <w:pPr>
        <w:pStyle w:val="Heading4"/>
      </w:pPr>
      <w:r w:rsidRPr="000C269A">
        <w:t xml:space="preserve">Primary </w:t>
      </w:r>
      <w:r w:rsidR="00C96AEC">
        <w:t>r</w:t>
      </w:r>
      <w:r w:rsidRPr="000C269A">
        <w:t xml:space="preserve">easons for </w:t>
      </w:r>
      <w:r w:rsidR="00C96AEC">
        <w:t>s</w:t>
      </w:r>
      <w:r w:rsidRPr="000C269A">
        <w:t xml:space="preserve">eeking </w:t>
      </w:r>
      <w:r w:rsidR="00C96AEC">
        <w:t>a</w:t>
      </w:r>
      <w:r w:rsidRPr="000C269A">
        <w:t>ssistance</w:t>
      </w:r>
      <w:r>
        <w:t xml:space="preserve"> </w:t>
      </w:r>
    </w:p>
    <w:p w14:paraId="15E181AB" w14:textId="77777777" w:rsidR="004A6B2A" w:rsidRDefault="004A6B2A" w:rsidP="004A6B2A">
      <w:r>
        <w:t>The reasons for seeking support for clients aged under 25</w:t>
      </w:r>
      <w:r w:rsidDel="00401575">
        <w:t xml:space="preserve"> </w:t>
      </w:r>
      <w:r>
        <w:t>were:</w:t>
      </w:r>
    </w:p>
    <w:p w14:paraId="07382F67" w14:textId="77777777" w:rsidR="004A6B2A" w:rsidRPr="00C96AEC" w:rsidRDefault="004A6B2A" w:rsidP="00717082">
      <w:pPr>
        <w:pStyle w:val="ListParagraph"/>
        <w:numPr>
          <w:ilvl w:val="0"/>
          <w:numId w:val="72"/>
        </w:numPr>
      </w:pPr>
      <w:r w:rsidRPr="00C96AEC">
        <w:t>experiences of family violence – 99.7% (n=624), which was similar to clients aged 25 and over (99.1%)</w:t>
      </w:r>
    </w:p>
    <w:p w14:paraId="117F3154" w14:textId="77777777" w:rsidR="004A6B2A" w:rsidRPr="00C96AEC" w:rsidRDefault="004A6B2A" w:rsidP="00717082">
      <w:pPr>
        <w:pStyle w:val="ListParagraph"/>
        <w:numPr>
          <w:ilvl w:val="0"/>
          <w:numId w:val="72"/>
        </w:numPr>
      </w:pPr>
      <w:r w:rsidRPr="00C96AEC">
        <w:t>relationship or family breakdown – 10.1% (n=63), which was slightly lower than for clients aged 25 and over (14%)</w:t>
      </w:r>
    </w:p>
    <w:p w14:paraId="57940BC0" w14:textId="77777777" w:rsidR="004A6B2A" w:rsidRPr="00C96AEC" w:rsidRDefault="004A6B2A" w:rsidP="00717082">
      <w:pPr>
        <w:pStyle w:val="ListParagraph"/>
        <w:numPr>
          <w:ilvl w:val="0"/>
          <w:numId w:val="72"/>
        </w:numPr>
      </w:pPr>
      <w:r w:rsidRPr="00C96AEC">
        <w:t>financial difficulties – 5.1% (n=33), which was 70.7% less than clients aged 25 and over (17.4%).</w:t>
      </w:r>
    </w:p>
    <w:p w14:paraId="6593B358" w14:textId="68C64BC7" w:rsidR="004A6B2A" w:rsidRDefault="004A6B2A" w:rsidP="004A6B2A">
      <w:pPr>
        <w:pStyle w:val="Heading3"/>
      </w:pPr>
      <w:r>
        <w:t xml:space="preserve">Clients with </w:t>
      </w:r>
      <w:r w:rsidR="00C96AEC">
        <w:t>d</w:t>
      </w:r>
      <w:r>
        <w:t>isabilities</w:t>
      </w:r>
    </w:p>
    <w:p w14:paraId="6E5414B4" w14:textId="77777777" w:rsidR="004A6B2A" w:rsidRDefault="004A6B2A" w:rsidP="004A6B2A">
      <w:r>
        <w:t>Clients who identified as living with disabilities were 6.8% (n=192) of the entire client base.</w:t>
      </w:r>
    </w:p>
    <w:p w14:paraId="2AAB2026" w14:textId="53A3A43D" w:rsidR="004A6B2A" w:rsidRDefault="004A6B2A" w:rsidP="004A6B2A">
      <w:pPr>
        <w:pStyle w:val="Heading4"/>
      </w:pPr>
      <w:r>
        <w:t>Co-</w:t>
      </w:r>
      <w:r w:rsidR="00C96AEC">
        <w:t>o</w:t>
      </w:r>
      <w:r>
        <w:t xml:space="preserve">ccurring </w:t>
      </w:r>
      <w:r w:rsidR="00C96AEC">
        <w:t>n</w:t>
      </w:r>
      <w:r>
        <w:t>eeds</w:t>
      </w:r>
    </w:p>
    <w:p w14:paraId="01FD14DF" w14:textId="77777777" w:rsidR="004A6B2A" w:rsidRDefault="004A6B2A" w:rsidP="004A6B2A">
      <w:r>
        <w:t xml:space="preserve">Of Good Shepherd’s clients with disabilities: </w:t>
      </w:r>
    </w:p>
    <w:p w14:paraId="651651ED" w14:textId="77777777" w:rsidR="004A6B2A" w:rsidRPr="00C96AEC" w:rsidRDefault="004A6B2A" w:rsidP="00717082">
      <w:pPr>
        <w:pStyle w:val="ListParagraph"/>
        <w:numPr>
          <w:ilvl w:val="0"/>
          <w:numId w:val="73"/>
        </w:numPr>
      </w:pPr>
      <w:r w:rsidRPr="00C96AEC">
        <w:t xml:space="preserve">34.3% (n=66) reported risk of homelessness, which was 23% lower than for those without </w:t>
      </w:r>
      <w:r w:rsidRPr="00C96AEC" w:rsidDel="00EE2D3F">
        <w:t xml:space="preserve">a </w:t>
      </w:r>
      <w:r w:rsidRPr="00C96AEC">
        <w:t>disability (42.2%)</w:t>
      </w:r>
    </w:p>
    <w:p w14:paraId="2451E3AB" w14:textId="77777777" w:rsidR="004A6B2A" w:rsidRPr="00C96AEC" w:rsidRDefault="004A6B2A" w:rsidP="00717082">
      <w:pPr>
        <w:pStyle w:val="ListParagraph"/>
        <w:numPr>
          <w:ilvl w:val="0"/>
          <w:numId w:val="73"/>
        </w:numPr>
      </w:pPr>
      <w:r w:rsidRPr="00C96AEC">
        <w:t xml:space="preserve">44.7% (n=86) reported financial insecurity, which was similar to those without </w:t>
      </w:r>
      <w:r w:rsidRPr="00C96AEC" w:rsidDel="00EE2D3F">
        <w:t xml:space="preserve">a </w:t>
      </w:r>
      <w:r w:rsidRPr="00C96AEC">
        <w:t>disability (42.2%)</w:t>
      </w:r>
    </w:p>
    <w:p w14:paraId="7497D72F" w14:textId="77777777" w:rsidR="004A6B2A" w:rsidRPr="00C96AEC" w:rsidRDefault="004A6B2A" w:rsidP="00717082">
      <w:pPr>
        <w:pStyle w:val="ListParagraph"/>
        <w:numPr>
          <w:ilvl w:val="0"/>
          <w:numId w:val="73"/>
        </w:numPr>
      </w:pPr>
      <w:r w:rsidRPr="00C96AEC">
        <w:t xml:space="preserve">33.2% (n=64) reported mental health needs, which was 34% higher than those without </w:t>
      </w:r>
      <w:r w:rsidRPr="00C96AEC" w:rsidDel="00EE2D3F">
        <w:t xml:space="preserve">a </w:t>
      </w:r>
      <w:r w:rsidRPr="00C96AEC">
        <w:t>disability (21.9%).</w:t>
      </w:r>
    </w:p>
    <w:p w14:paraId="00270B88" w14:textId="079FBBE8" w:rsidR="004A6B2A" w:rsidRDefault="004A6B2A" w:rsidP="004A6B2A">
      <w:pPr>
        <w:pStyle w:val="Heading4"/>
      </w:pPr>
      <w:r w:rsidRPr="000C269A">
        <w:t xml:space="preserve">Primary </w:t>
      </w:r>
      <w:r w:rsidR="00C96AEC">
        <w:t>r</w:t>
      </w:r>
      <w:r w:rsidRPr="000C269A">
        <w:t xml:space="preserve">easons for </w:t>
      </w:r>
      <w:r w:rsidR="00C96AEC">
        <w:t>s</w:t>
      </w:r>
      <w:r w:rsidRPr="000C269A">
        <w:t xml:space="preserve">eeking </w:t>
      </w:r>
      <w:r w:rsidR="00C96AEC">
        <w:t>a</w:t>
      </w:r>
      <w:r w:rsidRPr="000C269A">
        <w:t>ssistance</w:t>
      </w:r>
      <w:r>
        <w:t xml:space="preserve"> </w:t>
      </w:r>
    </w:p>
    <w:p w14:paraId="74F211C8" w14:textId="77777777" w:rsidR="004A6B2A" w:rsidRDefault="004A6B2A" w:rsidP="004A6B2A">
      <w:r>
        <w:t xml:space="preserve">The primary reason why clients with disabilities sought support was for experiences of family or domestic violence, at 99.3%, which does not differ from clients without </w:t>
      </w:r>
      <w:r w:rsidDel="00EE2D3F">
        <w:t xml:space="preserve">a </w:t>
      </w:r>
      <w:r>
        <w:t>disability. There were no notable secondary reasons for this cohort.</w:t>
      </w:r>
    </w:p>
    <w:p w14:paraId="05A11A66" w14:textId="1018CCA5" w:rsidR="004A6B2A" w:rsidRDefault="004A6B2A" w:rsidP="004A6B2A">
      <w:pPr>
        <w:pStyle w:val="Heading3"/>
      </w:pPr>
      <w:r>
        <w:t xml:space="preserve">Single </w:t>
      </w:r>
      <w:r w:rsidR="00C96AEC">
        <w:t>p</w:t>
      </w:r>
      <w:r>
        <w:t xml:space="preserve">arented </w:t>
      </w:r>
      <w:r w:rsidR="00C96AEC">
        <w:t>h</w:t>
      </w:r>
      <w:r>
        <w:t>ouseholds</w:t>
      </w:r>
    </w:p>
    <w:p w14:paraId="107E7CC5" w14:textId="77777777" w:rsidR="004A6B2A" w:rsidRDefault="004A6B2A" w:rsidP="004A6B2A">
      <w:bookmarkStart w:id="45" w:name="_Hlk88038947"/>
      <w:r>
        <w:t>Nearly a third of all clients (30.2%, n=848) were from single parented households.</w:t>
      </w:r>
    </w:p>
    <w:bookmarkEnd w:id="45"/>
    <w:p w14:paraId="5F855081" w14:textId="250434DA" w:rsidR="004A6B2A" w:rsidRDefault="004A6B2A" w:rsidP="004A6B2A">
      <w:pPr>
        <w:pStyle w:val="Heading4"/>
      </w:pPr>
      <w:r>
        <w:t>Co-</w:t>
      </w:r>
      <w:r w:rsidR="00C96AEC">
        <w:t>o</w:t>
      </w:r>
      <w:r>
        <w:t xml:space="preserve">ccurring </w:t>
      </w:r>
      <w:r w:rsidR="00C96AEC">
        <w:t>n</w:t>
      </w:r>
      <w:r>
        <w:t>eeds</w:t>
      </w:r>
    </w:p>
    <w:p w14:paraId="186E54E2" w14:textId="77777777" w:rsidR="004A6B2A" w:rsidRDefault="004A6B2A" w:rsidP="004A6B2A">
      <w:r>
        <w:t xml:space="preserve">Of Good Shepherd’s clients from single parented households: </w:t>
      </w:r>
    </w:p>
    <w:p w14:paraId="5BBB2AC8" w14:textId="77777777" w:rsidR="004A6B2A" w:rsidRPr="00C96AEC" w:rsidRDefault="004A6B2A" w:rsidP="00717082">
      <w:pPr>
        <w:pStyle w:val="ListParagraph"/>
        <w:numPr>
          <w:ilvl w:val="0"/>
          <w:numId w:val="74"/>
        </w:numPr>
      </w:pPr>
      <w:r w:rsidRPr="00C96AEC">
        <w:t>39.1% (n=332) reported risk of homelessness, which was 38% higher than for other clients (28.4%)</w:t>
      </w:r>
    </w:p>
    <w:p w14:paraId="36651BD7" w14:textId="77777777" w:rsidR="004A6B2A" w:rsidRPr="00C96AEC" w:rsidRDefault="004A6B2A" w:rsidP="00717082">
      <w:pPr>
        <w:pStyle w:val="ListParagraph"/>
        <w:numPr>
          <w:ilvl w:val="0"/>
          <w:numId w:val="74"/>
        </w:numPr>
      </w:pPr>
      <w:r w:rsidRPr="00C96AEC">
        <w:t>52.8% (n=448) reported financial insecurity, which was 39.7% higher than for other clients (37.8%)</w:t>
      </w:r>
    </w:p>
    <w:p w14:paraId="5FE9D122" w14:textId="77777777" w:rsidR="004A6B2A" w:rsidRPr="00C96AEC" w:rsidRDefault="004A6B2A" w:rsidP="00717082">
      <w:pPr>
        <w:pStyle w:val="ListParagraph"/>
        <w:numPr>
          <w:ilvl w:val="0"/>
          <w:numId w:val="74"/>
        </w:numPr>
      </w:pPr>
      <w:r w:rsidRPr="00C96AEC">
        <w:t>26% (n=221) reported mental health needs, which was 22.6% higher than for other clients (21.2%).</w:t>
      </w:r>
    </w:p>
    <w:p w14:paraId="2808F0E0" w14:textId="16634404" w:rsidR="004A6B2A" w:rsidRDefault="004A6B2A" w:rsidP="004A6B2A">
      <w:pPr>
        <w:pStyle w:val="Heading4"/>
      </w:pPr>
      <w:r w:rsidRPr="000C269A">
        <w:t xml:space="preserve">Primary </w:t>
      </w:r>
      <w:r w:rsidR="00C96AEC">
        <w:t>r</w:t>
      </w:r>
      <w:r w:rsidRPr="000C269A">
        <w:t xml:space="preserve">easons for </w:t>
      </w:r>
      <w:r w:rsidR="00C96AEC">
        <w:t>s</w:t>
      </w:r>
      <w:r w:rsidRPr="000C269A">
        <w:t xml:space="preserve">eeking </w:t>
      </w:r>
      <w:r w:rsidR="00C96AEC">
        <w:t>a</w:t>
      </w:r>
      <w:r w:rsidRPr="000C269A">
        <w:t>ssistance</w:t>
      </w:r>
      <w:r>
        <w:t xml:space="preserve"> </w:t>
      </w:r>
    </w:p>
    <w:p w14:paraId="7A0D8DF3" w14:textId="77777777" w:rsidR="004A6B2A" w:rsidRDefault="004A6B2A" w:rsidP="004A6B2A">
      <w:r>
        <w:t>The primary reasons for seeking support for this cohort were:</w:t>
      </w:r>
    </w:p>
    <w:p w14:paraId="750B958A" w14:textId="77777777" w:rsidR="004A6B2A" w:rsidRPr="00C96AEC" w:rsidRDefault="004A6B2A" w:rsidP="00717082">
      <w:pPr>
        <w:pStyle w:val="ListParagraph"/>
        <w:numPr>
          <w:ilvl w:val="0"/>
          <w:numId w:val="75"/>
        </w:numPr>
      </w:pPr>
      <w:r w:rsidRPr="00C96AEC">
        <w:t>family violence – 99.2% (n=841), which was similar to other clients (99.4%)</w:t>
      </w:r>
    </w:p>
    <w:p w14:paraId="5874CF7C" w14:textId="77777777" w:rsidR="004A6B2A" w:rsidRPr="00C96AEC" w:rsidRDefault="004A6B2A" w:rsidP="00717082">
      <w:pPr>
        <w:pStyle w:val="ListParagraph"/>
        <w:numPr>
          <w:ilvl w:val="0"/>
          <w:numId w:val="75"/>
        </w:numPr>
      </w:pPr>
      <w:r w:rsidRPr="00C96AEC">
        <w:t xml:space="preserve">financial difficulties – 16.6% (n=141), which was slightly higher than for other clients (11.1%) </w:t>
      </w:r>
    </w:p>
    <w:p w14:paraId="1448A7BC" w14:textId="77777777" w:rsidR="004A6B2A" w:rsidRPr="00C96AEC" w:rsidRDefault="004A6B2A" w:rsidP="00717082">
      <w:pPr>
        <w:pStyle w:val="ListParagraph"/>
        <w:numPr>
          <w:ilvl w:val="0"/>
          <w:numId w:val="75"/>
        </w:numPr>
      </w:pPr>
      <w:r w:rsidRPr="00C96AEC">
        <w:t>relationship or family breakdown – 14.5% (n=123), which was slightly higher than for other clients (11.4%).</w:t>
      </w:r>
    </w:p>
    <w:p w14:paraId="4257890D" w14:textId="5203B61B" w:rsidR="004A6B2A" w:rsidRDefault="004A6B2A" w:rsidP="004A6B2A">
      <w:pPr>
        <w:pStyle w:val="Heading3"/>
      </w:pPr>
      <w:r>
        <w:t xml:space="preserve">Clients from </w:t>
      </w:r>
      <w:r w:rsidR="00C96AEC">
        <w:t>n</w:t>
      </w:r>
      <w:r>
        <w:t xml:space="preserve">on-English </w:t>
      </w:r>
      <w:r w:rsidR="00C96AEC">
        <w:t>s</w:t>
      </w:r>
      <w:r>
        <w:t xml:space="preserve">peaking </w:t>
      </w:r>
      <w:r w:rsidR="00C96AEC">
        <w:t>b</w:t>
      </w:r>
      <w:r>
        <w:t>ackgrounds</w:t>
      </w:r>
    </w:p>
    <w:p w14:paraId="33318294" w14:textId="77777777" w:rsidR="004A6B2A" w:rsidRDefault="004A6B2A" w:rsidP="004A6B2A">
      <w:r>
        <w:t>A significant number of Good Shepherd’s clients during COVID-19 spoke a language other than English as their first language (16.8%, n=251). 83.1% (n=1243) of clients spoke English as their first language.</w:t>
      </w:r>
    </w:p>
    <w:p w14:paraId="0D6B2CDA" w14:textId="77777777" w:rsidR="004A6B2A" w:rsidRDefault="004A6B2A" w:rsidP="004A6B2A">
      <w:r w:rsidRPr="00AF53E0">
        <w:t xml:space="preserve">Clients from culturally and linguistically diverse backgrounds who come through </w:t>
      </w:r>
      <w:r>
        <w:t>T</w:t>
      </w:r>
      <w:r w:rsidRPr="00AF53E0">
        <w:t>he Orange Door are generally referred to specialised services</w:t>
      </w:r>
      <w:r>
        <w:t xml:space="preserve">. This means that </w:t>
      </w:r>
      <w:r w:rsidRPr="00AF53E0">
        <w:t>the number attending Good Shepherd services, while not low, may not be representative.</w:t>
      </w:r>
      <w:r>
        <w:t xml:space="preserve"> </w:t>
      </w:r>
    </w:p>
    <w:p w14:paraId="63A46CCD" w14:textId="5D5DBEB8" w:rsidR="004A6B2A" w:rsidRDefault="004A6B2A" w:rsidP="004A6B2A">
      <w:pPr>
        <w:pStyle w:val="Heading4"/>
      </w:pPr>
      <w:r>
        <w:t>Co-</w:t>
      </w:r>
      <w:r w:rsidR="00535917">
        <w:t>o</w:t>
      </w:r>
      <w:r>
        <w:t xml:space="preserve">ccurring </w:t>
      </w:r>
      <w:r w:rsidR="00535917">
        <w:t>n</w:t>
      </w:r>
      <w:r>
        <w:t>eeds</w:t>
      </w:r>
    </w:p>
    <w:p w14:paraId="35EEEADC" w14:textId="77777777" w:rsidR="004A6B2A" w:rsidRDefault="004A6B2A" w:rsidP="004A6B2A">
      <w:r>
        <w:t xml:space="preserve">Of Good Shepherd’s clients who spoke a first language other than English: </w:t>
      </w:r>
    </w:p>
    <w:p w14:paraId="29B4D376" w14:textId="77777777" w:rsidR="004A6B2A" w:rsidRPr="00535917" w:rsidRDefault="004A6B2A" w:rsidP="00717082">
      <w:pPr>
        <w:pStyle w:val="ListParagraph"/>
        <w:numPr>
          <w:ilvl w:val="0"/>
          <w:numId w:val="76"/>
        </w:numPr>
      </w:pPr>
      <w:r w:rsidRPr="00535917">
        <w:t>56.1% (n=141) reported risk of homelessness, which was 44.7% higher than clients whose first language was English (31%)</w:t>
      </w:r>
    </w:p>
    <w:p w14:paraId="19213208" w14:textId="77777777" w:rsidR="004A6B2A" w:rsidRPr="00535917" w:rsidRDefault="004A6B2A" w:rsidP="00717082">
      <w:pPr>
        <w:pStyle w:val="ListParagraph"/>
        <w:numPr>
          <w:ilvl w:val="0"/>
          <w:numId w:val="76"/>
        </w:numPr>
      </w:pPr>
      <w:r w:rsidRPr="00535917">
        <w:t>60.5% (n=152) reported financial insecurity, which was 73% higher than for those clients whose first language was English (45%)</w:t>
      </w:r>
    </w:p>
    <w:p w14:paraId="2989206B" w14:textId="77777777" w:rsidR="004A6B2A" w:rsidRPr="00535917" w:rsidRDefault="004A6B2A" w:rsidP="00717082">
      <w:pPr>
        <w:pStyle w:val="ListParagraph"/>
        <w:numPr>
          <w:ilvl w:val="0"/>
          <w:numId w:val="76"/>
        </w:numPr>
      </w:pPr>
      <w:r w:rsidRPr="00535917">
        <w:t>16.3% (n=41) reported mental health needs, which was 21% lower than for those clients whose first language was English (20.6%).</w:t>
      </w:r>
    </w:p>
    <w:p w14:paraId="0CAD759A" w14:textId="5D970D36" w:rsidR="004A6B2A" w:rsidRDefault="004A6B2A" w:rsidP="004A6B2A">
      <w:pPr>
        <w:pStyle w:val="Heading4"/>
      </w:pPr>
      <w:r w:rsidRPr="000C269A">
        <w:t xml:space="preserve">Primary </w:t>
      </w:r>
      <w:r w:rsidR="00535917">
        <w:t>r</w:t>
      </w:r>
      <w:r w:rsidRPr="000C269A">
        <w:t xml:space="preserve">easons for </w:t>
      </w:r>
      <w:r w:rsidR="00535917">
        <w:t>s</w:t>
      </w:r>
      <w:r w:rsidRPr="000C269A">
        <w:t xml:space="preserve">eeking </w:t>
      </w:r>
      <w:r w:rsidR="00535917">
        <w:t>a</w:t>
      </w:r>
      <w:r w:rsidRPr="000C269A">
        <w:t>ssistance</w:t>
      </w:r>
      <w:r>
        <w:t xml:space="preserve"> </w:t>
      </w:r>
    </w:p>
    <w:p w14:paraId="7585486B" w14:textId="77777777" w:rsidR="004A6B2A" w:rsidRDefault="004A6B2A" w:rsidP="004A6B2A">
      <w:r>
        <w:t>The primary reason for seeking support was domestic violence. This was the same irrespective of whether English was their first language – 100% (n=143) of clients whose first language was other than English, and 99.9% (n=876) of clients whose first language was English.</w:t>
      </w:r>
    </w:p>
    <w:p w14:paraId="153828E9" w14:textId="77777777" w:rsidR="004A6B2A" w:rsidRDefault="004A6B2A" w:rsidP="004A6B2A">
      <w:r>
        <w:t>Clients whose first language was other than English were 164% more likely to also be seeking support for financial difficulties – 21.7% (n=31) compared to 8.2% (n=72) for those who spoke English as their first language.</w:t>
      </w:r>
    </w:p>
    <w:p w14:paraId="268625D3" w14:textId="77777777" w:rsidR="004A6B2A" w:rsidRDefault="004A6B2A" w:rsidP="004A6B2A">
      <w:r>
        <w:t>Ten percent of clients who spoke English as their first language also identified relationship or family breakdown, which was not a primary presenting issue for clients who did not speak English as their first language.</w:t>
      </w:r>
    </w:p>
    <w:p w14:paraId="0365C574" w14:textId="141A7B14" w:rsidR="004A6B2A" w:rsidRDefault="004A6B2A" w:rsidP="004A6B2A">
      <w:pPr>
        <w:pStyle w:val="Heading3"/>
      </w:pPr>
      <w:r>
        <w:t xml:space="preserve">First Nations </w:t>
      </w:r>
      <w:r w:rsidR="00052E09">
        <w:t>c</w:t>
      </w:r>
      <w:r>
        <w:t>lients</w:t>
      </w:r>
    </w:p>
    <w:p w14:paraId="7254B6A6" w14:textId="77777777" w:rsidR="004A6B2A" w:rsidRDefault="004A6B2A" w:rsidP="004A6B2A">
      <w:r>
        <w:t>Of the entire client base, 5.3% identified as First Nations peoples.</w:t>
      </w:r>
    </w:p>
    <w:p w14:paraId="36EFF165" w14:textId="790AD945" w:rsidR="004A6B2A" w:rsidRDefault="004A6B2A" w:rsidP="004A6B2A">
      <w:pPr>
        <w:pStyle w:val="Heading4"/>
      </w:pPr>
      <w:r>
        <w:t>Co-</w:t>
      </w:r>
      <w:r w:rsidR="00E8613D">
        <w:t>o</w:t>
      </w:r>
      <w:r>
        <w:t xml:space="preserve">ccurring </w:t>
      </w:r>
      <w:r w:rsidR="00E8613D">
        <w:t>n</w:t>
      </w:r>
      <w:r>
        <w:t>eeds</w:t>
      </w:r>
    </w:p>
    <w:p w14:paraId="2E0C8988" w14:textId="77777777" w:rsidR="004A6B2A" w:rsidRDefault="004A6B2A" w:rsidP="004A6B2A">
      <w:r>
        <w:t xml:space="preserve">Of Good Shepherd’s First Nations clients: </w:t>
      </w:r>
    </w:p>
    <w:p w14:paraId="3204F814" w14:textId="77777777" w:rsidR="004A6B2A" w:rsidRPr="00052E09" w:rsidRDefault="004A6B2A" w:rsidP="00717082">
      <w:pPr>
        <w:pStyle w:val="ListParagraph"/>
        <w:numPr>
          <w:ilvl w:val="0"/>
          <w:numId w:val="77"/>
        </w:numPr>
      </w:pPr>
      <w:r w:rsidRPr="00052E09">
        <w:t>40.3% (n=46) reported risk of homelessness, which is 10% higher than for non-First Nations clients (36.5%)</w:t>
      </w:r>
    </w:p>
    <w:p w14:paraId="03ADF0A9" w14:textId="77777777" w:rsidR="004A6B2A" w:rsidRPr="00052E09" w:rsidRDefault="004A6B2A" w:rsidP="00717082">
      <w:pPr>
        <w:pStyle w:val="ListParagraph"/>
        <w:numPr>
          <w:ilvl w:val="0"/>
          <w:numId w:val="77"/>
        </w:numPr>
      </w:pPr>
      <w:r w:rsidRPr="00052E09">
        <w:t>51.7% (n=59) reported financial insecurity, which was similar to non-First Nations clients (50.2%)</w:t>
      </w:r>
    </w:p>
    <w:p w14:paraId="42F62B42" w14:textId="77777777" w:rsidR="004A6B2A" w:rsidRPr="00052E09" w:rsidRDefault="004A6B2A" w:rsidP="00717082">
      <w:pPr>
        <w:pStyle w:val="ListParagraph"/>
        <w:numPr>
          <w:ilvl w:val="0"/>
          <w:numId w:val="77"/>
        </w:numPr>
      </w:pPr>
      <w:r w:rsidRPr="00052E09">
        <w:t>30.7% (n=35) reported mental health needs, which was 40% higher than for non-First Nations clients (21.9%).</w:t>
      </w:r>
    </w:p>
    <w:p w14:paraId="78E64EBA" w14:textId="556B06D5" w:rsidR="004A6B2A" w:rsidRDefault="004A6B2A" w:rsidP="004A6B2A">
      <w:pPr>
        <w:pStyle w:val="Heading4"/>
      </w:pPr>
      <w:r w:rsidRPr="000C269A">
        <w:t xml:space="preserve">Primary </w:t>
      </w:r>
      <w:r w:rsidR="00052E09">
        <w:t>r</w:t>
      </w:r>
      <w:r w:rsidRPr="000C269A">
        <w:t xml:space="preserve">easons for </w:t>
      </w:r>
      <w:r w:rsidR="00052E09">
        <w:t>s</w:t>
      </w:r>
      <w:r w:rsidRPr="000C269A">
        <w:t xml:space="preserve">eeking </w:t>
      </w:r>
      <w:r w:rsidR="00052E09">
        <w:t>a</w:t>
      </w:r>
      <w:r w:rsidRPr="000C269A">
        <w:t>ssistance</w:t>
      </w:r>
      <w:r>
        <w:t xml:space="preserve"> </w:t>
      </w:r>
    </w:p>
    <w:p w14:paraId="366727E9" w14:textId="77777777" w:rsidR="004A6B2A" w:rsidRDefault="004A6B2A" w:rsidP="004A6B2A">
      <w:r>
        <w:t xml:space="preserve">For First Nations clients, the primary reasons for seeking support were: </w:t>
      </w:r>
    </w:p>
    <w:p w14:paraId="2E72F6AE" w14:textId="77777777" w:rsidR="004A6B2A" w:rsidRPr="00052E09" w:rsidRDefault="004A6B2A" w:rsidP="00717082">
      <w:pPr>
        <w:pStyle w:val="ListParagraph"/>
        <w:numPr>
          <w:ilvl w:val="0"/>
          <w:numId w:val="78"/>
        </w:numPr>
      </w:pPr>
      <w:r w:rsidRPr="00052E09">
        <w:t>98.9% (n=91) for domestic or family violence, which was similar to non-First Nations clients (99.3%)</w:t>
      </w:r>
    </w:p>
    <w:p w14:paraId="0B6E2D4F" w14:textId="77777777" w:rsidR="004A6B2A" w:rsidRPr="00052E09" w:rsidRDefault="004A6B2A" w:rsidP="00717082">
      <w:pPr>
        <w:pStyle w:val="ListParagraph"/>
        <w:numPr>
          <w:ilvl w:val="0"/>
          <w:numId w:val="78"/>
        </w:numPr>
      </w:pPr>
      <w:r w:rsidRPr="00052E09">
        <w:t>10.9% (n=10) for relationship or family breakdown, which was slightly lower than for non-First Nations clients (12.9%)</w:t>
      </w:r>
    </w:p>
    <w:p w14:paraId="1CCCD6BD" w14:textId="77777777" w:rsidR="004A6B2A" w:rsidRPr="00052E09" w:rsidRDefault="004A6B2A" w:rsidP="00717082">
      <w:pPr>
        <w:pStyle w:val="ListParagraph"/>
        <w:numPr>
          <w:ilvl w:val="0"/>
          <w:numId w:val="78"/>
        </w:numPr>
      </w:pPr>
      <w:r w:rsidRPr="00052E09">
        <w:t>8.7% (n=8) for financial difficulties, which was slightly lower than for non-First Nations clients (10.8%).</w:t>
      </w:r>
    </w:p>
    <w:p w14:paraId="7956DC7C" w14:textId="77777777" w:rsidR="004A6B2A" w:rsidRDefault="004A6B2A" w:rsidP="004A6B2A">
      <w:pPr>
        <w:spacing w:line="259" w:lineRule="auto"/>
      </w:pPr>
      <w:r>
        <w:br w:type="page"/>
      </w:r>
    </w:p>
    <w:p w14:paraId="14557A5C" w14:textId="7399F1D1" w:rsidR="004A6B2A" w:rsidRDefault="004A6B2A" w:rsidP="004A6B2A">
      <w:pPr>
        <w:pStyle w:val="Heading2"/>
      </w:pPr>
      <w:bookmarkStart w:id="46" w:name="_Toc95734894"/>
      <w:bookmarkStart w:id="47" w:name="_Toc98760944"/>
      <w:r w:rsidRPr="00AE26BD">
        <w:t xml:space="preserve">Comparisons </w:t>
      </w:r>
      <w:r w:rsidR="00052E09">
        <w:t>p</w:t>
      </w:r>
      <w:r w:rsidRPr="00AE26BD">
        <w:t xml:space="preserve">rior to and </w:t>
      </w:r>
      <w:r w:rsidR="00052E09">
        <w:t>d</w:t>
      </w:r>
      <w:r w:rsidRPr="00AE26BD">
        <w:t>uring COVID-19</w:t>
      </w:r>
      <w:bookmarkEnd w:id="46"/>
      <w:r>
        <w:rPr>
          <w:rStyle w:val="FootnoteReference"/>
        </w:rPr>
        <w:footnoteReference w:id="4"/>
      </w:r>
      <w:bookmarkEnd w:id="47"/>
    </w:p>
    <w:p w14:paraId="2E43D1E5" w14:textId="77777777" w:rsidR="004A6B2A" w:rsidRDefault="004A6B2A" w:rsidP="004A6B2A">
      <w:r>
        <w:t>The total number of clients who were provided with case management by Good Shepherd’s family violence services increased by 51%, from 748 clients in the period prior to COVID-19 to 1,129 clients during the COVID-19 period.</w:t>
      </w:r>
    </w:p>
    <w:p w14:paraId="7AD81A0D" w14:textId="77777777" w:rsidR="004A6B2A" w:rsidRDefault="004A6B2A" w:rsidP="004A6B2A">
      <w:r>
        <w:t>The core reason for seeking support did not change, with close to 100% of all clients seeking assistance for experiences of domestic and family violence – 98.5% of clients prior to COVID-19 and 99.9% during COVID-19. However, other reasons for seeking assistance all reduced between the periods prior to and during COVID-19. These included:</w:t>
      </w:r>
    </w:p>
    <w:p w14:paraId="4F6C5916" w14:textId="77777777" w:rsidR="004A6B2A" w:rsidRPr="00052E09" w:rsidRDefault="004A6B2A" w:rsidP="00717082">
      <w:pPr>
        <w:pStyle w:val="ListParagraph"/>
        <w:numPr>
          <w:ilvl w:val="0"/>
          <w:numId w:val="79"/>
        </w:numPr>
      </w:pPr>
      <w:r w:rsidRPr="00052E09">
        <w:t>financial difficulties –</w:t>
      </w:r>
      <w:r w:rsidRPr="00052E09" w:rsidDel="00DE4168">
        <w:t xml:space="preserve"> </w:t>
      </w:r>
      <w:r w:rsidRPr="00052E09">
        <w:t>24% decrease</w:t>
      </w:r>
    </w:p>
    <w:p w14:paraId="0AA27E48" w14:textId="77777777" w:rsidR="004A6B2A" w:rsidRPr="00052E09" w:rsidRDefault="004A6B2A" w:rsidP="00717082">
      <w:pPr>
        <w:pStyle w:val="ListParagraph"/>
        <w:numPr>
          <w:ilvl w:val="0"/>
          <w:numId w:val="79"/>
        </w:numPr>
      </w:pPr>
      <w:r w:rsidRPr="00052E09">
        <w:t>relationship or family breakdown –</w:t>
      </w:r>
      <w:r w:rsidRPr="00052E09" w:rsidDel="003B5801">
        <w:t xml:space="preserve"> </w:t>
      </w:r>
      <w:r w:rsidRPr="00052E09">
        <w:t>17% decrease</w:t>
      </w:r>
    </w:p>
    <w:p w14:paraId="16D3491B" w14:textId="77777777" w:rsidR="004A6B2A" w:rsidRPr="00052E09" w:rsidRDefault="004A6B2A" w:rsidP="00717082">
      <w:pPr>
        <w:pStyle w:val="ListParagraph"/>
        <w:numPr>
          <w:ilvl w:val="0"/>
          <w:numId w:val="79"/>
        </w:numPr>
      </w:pPr>
      <w:r w:rsidRPr="00052E09">
        <w:t>mental health issues –</w:t>
      </w:r>
      <w:r w:rsidRPr="00052E09" w:rsidDel="003B5801">
        <w:t xml:space="preserve"> </w:t>
      </w:r>
      <w:r w:rsidRPr="00052E09">
        <w:t>31% decrease</w:t>
      </w:r>
    </w:p>
    <w:p w14:paraId="42A84615" w14:textId="77777777" w:rsidR="004A6B2A" w:rsidRPr="00052E09" w:rsidRDefault="004A6B2A" w:rsidP="00717082">
      <w:pPr>
        <w:pStyle w:val="ListParagraph"/>
        <w:numPr>
          <w:ilvl w:val="0"/>
          <w:numId w:val="79"/>
        </w:numPr>
      </w:pPr>
      <w:r w:rsidRPr="00052E09">
        <w:t>housing affordability stress –</w:t>
      </w:r>
      <w:r w:rsidRPr="00052E09" w:rsidDel="003B5801">
        <w:t xml:space="preserve"> </w:t>
      </w:r>
      <w:r w:rsidRPr="00052E09">
        <w:t>37.2% decrease</w:t>
      </w:r>
    </w:p>
    <w:p w14:paraId="4C957316" w14:textId="77777777" w:rsidR="004A6B2A" w:rsidRPr="00052E09" w:rsidRDefault="004A6B2A" w:rsidP="00717082">
      <w:pPr>
        <w:pStyle w:val="ListParagraph"/>
        <w:numPr>
          <w:ilvl w:val="0"/>
          <w:numId w:val="79"/>
        </w:numPr>
      </w:pPr>
      <w:r w:rsidRPr="00052E09">
        <w:t>lack of family or community support –</w:t>
      </w:r>
      <w:r w:rsidRPr="00052E09" w:rsidDel="003B5801">
        <w:t xml:space="preserve"> </w:t>
      </w:r>
      <w:r w:rsidRPr="00052E09">
        <w:t>47% decrease.</w:t>
      </w:r>
    </w:p>
    <w:p w14:paraId="1C6CFC92" w14:textId="77777777" w:rsidR="004A6B2A" w:rsidRDefault="004A6B2A" w:rsidP="004A6B2A">
      <w:r>
        <w:t>Identified co-occurring needs also dropped between the periods prior to and during COVID-19. The risk of homelessness had only a small decline of 7%, while financial insecurity dropped 19% and mental health needs dropped 26%.</w:t>
      </w:r>
    </w:p>
    <w:p w14:paraId="1C221DE5" w14:textId="77777777" w:rsidR="004A6B2A" w:rsidRDefault="004A6B2A" w:rsidP="004A6B2A">
      <w:r>
        <w:t>The downward trend of co-occurring needs may indicate that practitioners (and possibly clients too) were more focused on the most critical issue, setting aside other pressing needs within the greater context of uncertainty and such dramatic changes in service provision. For example, t</w:t>
      </w:r>
      <w:r w:rsidRPr="0095760A">
        <w:t>here was a strong reduction in the number of clients with co-occurring</w:t>
      </w:r>
      <w:r>
        <w:t xml:space="preserve"> needs recorded, decreasing by 70% between the periods prior to and during COVID-19.</w:t>
      </w:r>
    </w:p>
    <w:p w14:paraId="63E19E26" w14:textId="77777777" w:rsidR="004A6B2A" w:rsidRDefault="004A6B2A" w:rsidP="004A6B2A">
      <w:r>
        <w:t>The most unexpected change in the data is the 26% drop in mental health needs, from 35% of clients prior to COVID-19 to 26% during COVID-19. At a time when the Victorian population as a whole was reporting worsening mental health, it seems unlikely that women experiencing family violence would not also experience compromised mental health.</w:t>
      </w:r>
    </w:p>
    <w:p w14:paraId="617D0E57" w14:textId="77777777" w:rsidR="004A6B2A" w:rsidRDefault="004A6B2A" w:rsidP="004A6B2A">
      <w:r>
        <w:t>Despite the decreases in co-occurring needs, the average length of support increased for clients by 50%, from an average of 48 contact hours per client prior to COVID-19 to an average of 72 contact hours during COVID-19. Referrals to most other support services also increased for most categories, including:</w:t>
      </w:r>
    </w:p>
    <w:p w14:paraId="159C0716" w14:textId="77777777" w:rsidR="004A6B2A" w:rsidRPr="00052E09" w:rsidRDefault="004A6B2A" w:rsidP="00717082">
      <w:pPr>
        <w:pStyle w:val="ListParagraph"/>
        <w:numPr>
          <w:ilvl w:val="0"/>
          <w:numId w:val="80"/>
        </w:numPr>
      </w:pPr>
      <w:r w:rsidRPr="00052E09">
        <w:t>material aid or brokerage –</w:t>
      </w:r>
      <w:r w:rsidRPr="00052E09" w:rsidDel="006C716C">
        <w:t xml:space="preserve"> </w:t>
      </w:r>
      <w:r w:rsidRPr="00052E09">
        <w:t>167% increase</w:t>
      </w:r>
    </w:p>
    <w:p w14:paraId="1DC8848D" w14:textId="77777777" w:rsidR="004A6B2A" w:rsidRPr="00052E09" w:rsidRDefault="004A6B2A" w:rsidP="00717082">
      <w:pPr>
        <w:pStyle w:val="ListParagraph"/>
        <w:numPr>
          <w:ilvl w:val="0"/>
          <w:numId w:val="80"/>
        </w:numPr>
      </w:pPr>
      <w:r w:rsidRPr="00052E09">
        <w:t>specialist counselling service –</w:t>
      </w:r>
      <w:r w:rsidRPr="00052E09" w:rsidDel="006C716C">
        <w:t xml:space="preserve"> </w:t>
      </w:r>
      <w:r w:rsidRPr="00052E09">
        <w:t>142% increase</w:t>
      </w:r>
    </w:p>
    <w:p w14:paraId="3091D97C" w14:textId="77777777" w:rsidR="004A6B2A" w:rsidRPr="00052E09" w:rsidRDefault="004A6B2A" w:rsidP="00717082">
      <w:pPr>
        <w:pStyle w:val="ListParagraph"/>
        <w:numPr>
          <w:ilvl w:val="0"/>
          <w:numId w:val="80"/>
        </w:numPr>
      </w:pPr>
      <w:r w:rsidRPr="00052E09">
        <w:t>advocacy or liaison services –</w:t>
      </w:r>
      <w:r w:rsidRPr="00052E09" w:rsidDel="006C716C">
        <w:t xml:space="preserve"> </w:t>
      </w:r>
      <w:r w:rsidRPr="00052E09">
        <w:t>243% increase</w:t>
      </w:r>
    </w:p>
    <w:p w14:paraId="66512FBA" w14:textId="77777777" w:rsidR="004A6B2A" w:rsidRPr="00052E09" w:rsidRDefault="004A6B2A" w:rsidP="00717082">
      <w:pPr>
        <w:pStyle w:val="ListParagraph"/>
        <w:numPr>
          <w:ilvl w:val="0"/>
          <w:numId w:val="80"/>
        </w:numPr>
      </w:pPr>
      <w:r w:rsidRPr="00052E09">
        <w:t>housing services –</w:t>
      </w:r>
      <w:r w:rsidRPr="00052E09" w:rsidDel="006C716C">
        <w:t xml:space="preserve"> </w:t>
      </w:r>
      <w:r w:rsidRPr="00052E09">
        <w:t>50% increase</w:t>
      </w:r>
    </w:p>
    <w:p w14:paraId="53A0EFED" w14:textId="77777777" w:rsidR="004A6B2A" w:rsidRPr="00052E09" w:rsidRDefault="004A6B2A" w:rsidP="00717082">
      <w:pPr>
        <w:pStyle w:val="ListParagraph"/>
        <w:numPr>
          <w:ilvl w:val="0"/>
          <w:numId w:val="80"/>
        </w:numPr>
      </w:pPr>
      <w:r w:rsidRPr="00052E09">
        <w:t>financial information –</w:t>
      </w:r>
      <w:r w:rsidRPr="00052E09" w:rsidDel="006C716C">
        <w:t xml:space="preserve"> </w:t>
      </w:r>
      <w:r w:rsidRPr="00052E09">
        <w:t>44% increase</w:t>
      </w:r>
    </w:p>
    <w:p w14:paraId="60212C84" w14:textId="77777777" w:rsidR="004A6B2A" w:rsidRPr="00052E09" w:rsidRDefault="004A6B2A" w:rsidP="00717082">
      <w:pPr>
        <w:pStyle w:val="ListParagraph"/>
        <w:numPr>
          <w:ilvl w:val="0"/>
          <w:numId w:val="80"/>
        </w:numPr>
      </w:pPr>
      <w:r w:rsidRPr="00052E09">
        <w:t>assistance for trauma –</w:t>
      </w:r>
      <w:r w:rsidRPr="00052E09" w:rsidDel="006C716C">
        <w:t xml:space="preserve"> </w:t>
      </w:r>
      <w:r w:rsidRPr="00052E09">
        <w:t>14% increase.</w:t>
      </w:r>
    </w:p>
    <w:p w14:paraId="73B5A07D" w14:textId="77777777" w:rsidR="004A6B2A" w:rsidRDefault="004A6B2A" w:rsidP="004A6B2A">
      <w:r>
        <w:t>There were decreases in referrals for other categories, including:</w:t>
      </w:r>
    </w:p>
    <w:p w14:paraId="19DAC1C4" w14:textId="77777777" w:rsidR="004A6B2A" w:rsidRPr="00052E09" w:rsidRDefault="004A6B2A" w:rsidP="00717082">
      <w:pPr>
        <w:pStyle w:val="ListParagraph"/>
        <w:numPr>
          <w:ilvl w:val="0"/>
          <w:numId w:val="81"/>
        </w:numPr>
      </w:pPr>
      <w:r w:rsidRPr="00052E09">
        <w:t>referrals to other family violence services (indicating that clients were not moving out of area as often) –</w:t>
      </w:r>
      <w:r w:rsidRPr="00052E09" w:rsidDel="006C716C">
        <w:t xml:space="preserve"> </w:t>
      </w:r>
      <w:r w:rsidRPr="00052E09">
        <w:t>83% decrease</w:t>
      </w:r>
    </w:p>
    <w:p w14:paraId="78483479" w14:textId="77777777" w:rsidR="004A6B2A" w:rsidRPr="00052E09" w:rsidRDefault="004A6B2A" w:rsidP="00717082">
      <w:pPr>
        <w:pStyle w:val="ListParagraph"/>
        <w:numPr>
          <w:ilvl w:val="0"/>
          <w:numId w:val="81"/>
        </w:numPr>
      </w:pPr>
      <w:r w:rsidRPr="00052E09">
        <w:t>referrals for advice or information –</w:t>
      </w:r>
      <w:r w:rsidRPr="00052E09" w:rsidDel="006C716C">
        <w:t xml:space="preserve"> </w:t>
      </w:r>
      <w:r w:rsidRPr="00052E09">
        <w:t>57% decrease</w:t>
      </w:r>
    </w:p>
    <w:p w14:paraId="0511EF9C" w14:textId="77777777" w:rsidR="004A6B2A" w:rsidRPr="00052E09" w:rsidRDefault="004A6B2A" w:rsidP="00717082">
      <w:pPr>
        <w:pStyle w:val="ListParagraph"/>
        <w:numPr>
          <w:ilvl w:val="0"/>
          <w:numId w:val="81"/>
        </w:numPr>
      </w:pPr>
      <w:r w:rsidRPr="00052E09">
        <w:t>referrals for family or relationship assistance –</w:t>
      </w:r>
      <w:r w:rsidRPr="00052E09" w:rsidDel="006C716C">
        <w:t xml:space="preserve"> </w:t>
      </w:r>
      <w:r w:rsidRPr="00052E09">
        <w:t>53% decrease.</w:t>
      </w:r>
    </w:p>
    <w:p w14:paraId="1C21EBA5" w14:textId="77777777" w:rsidR="004A6B2A" w:rsidRDefault="004A6B2A" w:rsidP="004A6B2A">
      <w:r>
        <w:t>Taken together, the increases in contact hours and the referral patterns indicate that holistic, wraparound support was not only maintained but actually increased during the COVID-19 period.</w:t>
      </w:r>
    </w:p>
    <w:p w14:paraId="5C59E6B7" w14:textId="77777777" w:rsidR="004A6B2A" w:rsidRDefault="004A6B2A" w:rsidP="004A6B2A">
      <w:r w:rsidRPr="00A835B0">
        <w:t xml:space="preserve">Although other reasons for seeking support all showed a decrease </w:t>
      </w:r>
      <w:r>
        <w:t>between the periods prior to and during COVID-19</w:t>
      </w:r>
      <w:r w:rsidRPr="00A835B0">
        <w:t xml:space="preserve">, the significant increase in referrals to other support services indicates that there has been an overall increase in presenting needs. This </w:t>
      </w:r>
      <w:r>
        <w:t xml:space="preserve">discrepancy </w:t>
      </w:r>
      <w:r w:rsidRPr="00A835B0">
        <w:t>could be attributed to data</w:t>
      </w:r>
      <w:r>
        <w:t xml:space="preserve"> </w:t>
      </w:r>
      <w:r w:rsidRPr="00A835B0">
        <w:t>recording practi</w:t>
      </w:r>
      <w:r>
        <w:t>c</w:t>
      </w:r>
      <w:r w:rsidRPr="00A835B0">
        <w:t>es</w:t>
      </w:r>
      <w:r w:rsidRPr="00835C1F">
        <w:t>, which may have been due to</w:t>
      </w:r>
      <w:r>
        <w:t>:</w:t>
      </w:r>
    </w:p>
    <w:p w14:paraId="7FF4E925" w14:textId="77777777" w:rsidR="004A6B2A" w:rsidRPr="00052E09" w:rsidRDefault="004A6B2A" w:rsidP="00717082">
      <w:pPr>
        <w:pStyle w:val="ListParagraph"/>
        <w:numPr>
          <w:ilvl w:val="0"/>
          <w:numId w:val="82"/>
        </w:numPr>
      </w:pPr>
      <w:r w:rsidRPr="00052E09">
        <w:t>an increased focus on safety to the exclusion of other needs</w:t>
      </w:r>
    </w:p>
    <w:p w14:paraId="71A13B81" w14:textId="77777777" w:rsidR="004A6B2A" w:rsidRPr="00052E09" w:rsidRDefault="004A6B2A" w:rsidP="00717082">
      <w:pPr>
        <w:pStyle w:val="ListParagraph"/>
        <w:numPr>
          <w:ilvl w:val="0"/>
          <w:numId w:val="82"/>
        </w:numPr>
      </w:pPr>
      <w:r w:rsidRPr="00052E09">
        <w:t>changes in recording practices (e.g., due to increased workload, or reflective of new employees who were inducted online and may consequently have had knowledge gaps).</w:t>
      </w:r>
    </w:p>
    <w:p w14:paraId="5174C8DC" w14:textId="77777777" w:rsidR="004A6B2A" w:rsidRDefault="004A6B2A" w:rsidP="004A6B2A">
      <w:r w:rsidRPr="00835C1F">
        <w:t>Some practitioners also observed that women were more constrained in discussing complex issues due to a lack of privacy or safe space</w:t>
      </w:r>
      <w:r w:rsidRPr="00A835B0">
        <w:t>.</w:t>
      </w:r>
    </w:p>
    <w:p w14:paraId="084A89A6" w14:textId="77777777" w:rsidR="004A6B2A" w:rsidRDefault="004A6B2A" w:rsidP="004A6B2A">
      <w:r>
        <w:t xml:space="preserve">It is therefore likely that reductions reflect how information was recorded rather than a change in either need or service response. </w:t>
      </w:r>
      <w:r w:rsidRPr="00B06BB6">
        <w:t>This theory was tested by examining whether the number of co-occurring needs that were recorded shifted during the COVID</w:t>
      </w:r>
      <w:r>
        <w:t>-19</w:t>
      </w:r>
      <w:r w:rsidRPr="00B06BB6">
        <w:t xml:space="preserve"> </w:t>
      </w:r>
      <w:r>
        <w:t>period</w:t>
      </w:r>
      <w:r w:rsidRPr="00B06BB6">
        <w:t xml:space="preserve">. </w:t>
      </w:r>
      <w:r>
        <w:t>In the period prior to COVID-19</w:t>
      </w:r>
      <w:r w:rsidRPr="00B06BB6">
        <w:t>, 100% of clients (n=881) had at least one other co-occurring need recorded in addition to family violence. During COVID</w:t>
      </w:r>
      <w:r>
        <w:t>-19</w:t>
      </w:r>
      <w:r w:rsidRPr="00B06BB6">
        <w:t>, this dropped 70%, with only 30%</w:t>
      </w:r>
      <w:r>
        <w:t xml:space="preserve"> (n=</w:t>
      </w:r>
      <w:r w:rsidRPr="00B06BB6">
        <w:t>302</w:t>
      </w:r>
      <w:r>
        <w:t>)</w:t>
      </w:r>
      <w:r w:rsidRPr="00B06BB6">
        <w:t xml:space="preserve"> of all clients (n=997) having a co-occurring need recorded. This indicates that data capture reduced significantly during the COVID</w:t>
      </w:r>
      <w:r>
        <w:t>-19 period</w:t>
      </w:r>
      <w:r w:rsidRPr="00B06BB6">
        <w:t>.</w:t>
      </w:r>
    </w:p>
    <w:p w14:paraId="2E8F6419" w14:textId="3470A24E" w:rsidR="004A6B2A" w:rsidRDefault="004A6B2A" w:rsidP="004A6B2A">
      <w:pPr>
        <w:pStyle w:val="Heading3"/>
      </w:pPr>
      <w:r>
        <w:t>Co-</w:t>
      </w:r>
      <w:r w:rsidR="00052E09">
        <w:t>o</w:t>
      </w:r>
      <w:r>
        <w:t xml:space="preserve">ccurring </w:t>
      </w:r>
      <w:r w:rsidR="00052E09">
        <w:t>n</w:t>
      </w:r>
      <w:r>
        <w:t>eeds</w:t>
      </w:r>
    </w:p>
    <w:p w14:paraId="4DFFCECD" w14:textId="77777777" w:rsidR="004A6B2A" w:rsidRDefault="004A6B2A" w:rsidP="004A6B2A">
      <w:r>
        <w:t>The percentage of women presenting with risk of homelessness, financial insecurity and/or mental health needs all appeared to decrease between the periods prior to and during COVID-19. This included:</w:t>
      </w:r>
    </w:p>
    <w:p w14:paraId="69AD5F65" w14:textId="77777777" w:rsidR="004A6B2A" w:rsidRPr="00052E09" w:rsidRDefault="004A6B2A" w:rsidP="00717082">
      <w:pPr>
        <w:pStyle w:val="ListParagraph"/>
        <w:numPr>
          <w:ilvl w:val="0"/>
          <w:numId w:val="83"/>
        </w:numPr>
      </w:pPr>
      <w:r w:rsidRPr="00052E09">
        <w:t>a 7% decrease in risk of homelessness, from 42% to 34%</w:t>
      </w:r>
    </w:p>
    <w:p w14:paraId="3B318620" w14:textId="77777777" w:rsidR="004A6B2A" w:rsidRPr="00052E09" w:rsidRDefault="004A6B2A" w:rsidP="00717082">
      <w:pPr>
        <w:pStyle w:val="ListParagraph"/>
        <w:numPr>
          <w:ilvl w:val="0"/>
          <w:numId w:val="83"/>
        </w:numPr>
      </w:pPr>
      <w:r w:rsidRPr="00052E09">
        <w:t>a 19% decrease in financial insecurity, from 63% to 45%</w:t>
      </w:r>
    </w:p>
    <w:p w14:paraId="75F34AB2" w14:textId="77777777" w:rsidR="004A6B2A" w:rsidRPr="00052E09" w:rsidRDefault="004A6B2A" w:rsidP="00717082">
      <w:pPr>
        <w:pStyle w:val="ListParagraph"/>
        <w:numPr>
          <w:ilvl w:val="0"/>
          <w:numId w:val="83"/>
        </w:numPr>
      </w:pPr>
      <w:r w:rsidRPr="00052E09">
        <w:t>a 26% decrease in mental health needs, from 35% to 26.</w:t>
      </w:r>
    </w:p>
    <w:p w14:paraId="11857D09" w14:textId="77777777" w:rsidR="004A6B2A" w:rsidRDefault="004A6B2A" w:rsidP="004A6B2A">
      <w:r w:rsidRPr="00AE12D0">
        <w:t>However, when considered in light of the referral data, this is likely a change in data recording practices rather than a reduction in need.</w:t>
      </w:r>
    </w:p>
    <w:p w14:paraId="762D15D3" w14:textId="2C7FDDFF" w:rsidR="004A6B2A" w:rsidRDefault="004A6B2A" w:rsidP="004A6B2A">
      <w:r>
        <w:t xml:space="preserve">The highest reported reason for seeking help did not differ markedly between the two comparison dates, with 98.5% </w:t>
      </w:r>
      <w:r w:rsidR="001025D7">
        <w:t xml:space="preserve">(n=827) </w:t>
      </w:r>
      <w:r>
        <w:t xml:space="preserve">of all clients seeking help for domestic and family violence prior to COVID-19 compared to 99.9% </w:t>
      </w:r>
      <w:r w:rsidR="001025D7">
        <w:t xml:space="preserve">(n=930) </w:t>
      </w:r>
      <w:r>
        <w:t>during COVID-19. The reporting of other co-occurring needs all saw a decrease, including:</w:t>
      </w:r>
    </w:p>
    <w:p w14:paraId="3AAB3F8E" w14:textId="1C60333D" w:rsidR="004A6B2A" w:rsidRPr="00052E09" w:rsidRDefault="004A6B2A" w:rsidP="00717082">
      <w:pPr>
        <w:pStyle w:val="ListParagraph"/>
        <w:numPr>
          <w:ilvl w:val="0"/>
          <w:numId w:val="84"/>
        </w:numPr>
      </w:pPr>
      <w:r w:rsidRPr="00052E09">
        <w:t xml:space="preserve">financial difficulties </w:t>
      </w:r>
      <w:r w:rsidR="001025D7">
        <w:t xml:space="preserve">decreased by </w:t>
      </w:r>
      <w:r w:rsidRPr="00052E09">
        <w:t>24%</w:t>
      </w:r>
      <w:r w:rsidR="001025D7">
        <w:t xml:space="preserve">, from </w:t>
      </w:r>
      <w:r w:rsidR="001025D7" w:rsidRPr="001025D7">
        <w:t>15% (n=126)</w:t>
      </w:r>
      <w:r w:rsidR="001025D7">
        <w:t xml:space="preserve"> to </w:t>
      </w:r>
      <w:r w:rsidR="001025D7" w:rsidRPr="001025D7">
        <w:t>11.4% (n=106)</w:t>
      </w:r>
    </w:p>
    <w:p w14:paraId="56B206D2" w14:textId="121B0389" w:rsidR="004A6B2A" w:rsidRPr="00052E09" w:rsidRDefault="004A6B2A" w:rsidP="00717082">
      <w:pPr>
        <w:pStyle w:val="ListParagraph"/>
        <w:numPr>
          <w:ilvl w:val="0"/>
          <w:numId w:val="84"/>
        </w:numPr>
      </w:pPr>
      <w:r w:rsidRPr="00052E09">
        <w:t xml:space="preserve">relationship/family breakdown </w:t>
      </w:r>
      <w:r w:rsidR="001025D7">
        <w:t xml:space="preserve">decreased by </w:t>
      </w:r>
      <w:r w:rsidRPr="00052E09">
        <w:t>17%</w:t>
      </w:r>
      <w:r w:rsidR="001025D7">
        <w:t xml:space="preserve">, from </w:t>
      </w:r>
      <w:r w:rsidR="001025D7" w:rsidRPr="001025D7">
        <w:t>13.3% (n=112)</w:t>
      </w:r>
      <w:r w:rsidR="001025D7">
        <w:t xml:space="preserve"> to </w:t>
      </w:r>
      <w:r w:rsidR="001025D7" w:rsidRPr="001025D7">
        <w:t>11% (n=102)</w:t>
      </w:r>
    </w:p>
    <w:p w14:paraId="06BC9723" w14:textId="202CDF8D" w:rsidR="004A6B2A" w:rsidRPr="00052E09" w:rsidRDefault="004A6B2A" w:rsidP="00717082">
      <w:pPr>
        <w:pStyle w:val="ListParagraph"/>
        <w:numPr>
          <w:ilvl w:val="0"/>
          <w:numId w:val="84"/>
        </w:numPr>
      </w:pPr>
      <w:r w:rsidRPr="00052E09">
        <w:t xml:space="preserve">mental health issues </w:t>
      </w:r>
      <w:r w:rsidR="001025D7">
        <w:t xml:space="preserve">decreased by </w:t>
      </w:r>
      <w:r w:rsidRPr="00052E09">
        <w:t>31%</w:t>
      </w:r>
      <w:r w:rsidR="001025D7">
        <w:t xml:space="preserve">, from </w:t>
      </w:r>
      <w:r w:rsidR="001025D7" w:rsidRPr="001025D7">
        <w:t>10.5% (n=88)</w:t>
      </w:r>
      <w:r w:rsidR="001025D7">
        <w:t xml:space="preserve"> to </w:t>
      </w:r>
      <w:r w:rsidR="001025D7" w:rsidRPr="001025D7">
        <w:t>7.2% (n=67)</w:t>
      </w:r>
    </w:p>
    <w:p w14:paraId="0BFEBBF6" w14:textId="12A3C455" w:rsidR="004A6B2A" w:rsidRPr="00052E09" w:rsidRDefault="004A6B2A" w:rsidP="00717082">
      <w:pPr>
        <w:pStyle w:val="ListParagraph"/>
        <w:numPr>
          <w:ilvl w:val="0"/>
          <w:numId w:val="84"/>
        </w:numPr>
      </w:pPr>
      <w:r w:rsidRPr="00052E09">
        <w:t xml:space="preserve">housing affordability stress </w:t>
      </w:r>
      <w:r w:rsidR="001025D7">
        <w:t xml:space="preserve">decreased by </w:t>
      </w:r>
      <w:r w:rsidRPr="00052E09">
        <w:t>37%</w:t>
      </w:r>
      <w:r w:rsidR="001025D7">
        <w:t xml:space="preserve">, from </w:t>
      </w:r>
      <w:r w:rsidR="001025D7" w:rsidRPr="001025D7">
        <w:t>9.4% (n=79)</w:t>
      </w:r>
      <w:r w:rsidR="001025D7">
        <w:t xml:space="preserve"> to </w:t>
      </w:r>
      <w:r w:rsidR="001025D7" w:rsidRPr="001025D7">
        <w:t>5.9% (n=55)</w:t>
      </w:r>
    </w:p>
    <w:p w14:paraId="467D8038" w14:textId="6BDF7657" w:rsidR="004A6B2A" w:rsidRPr="00052E09" w:rsidRDefault="004A6B2A" w:rsidP="00717082">
      <w:pPr>
        <w:pStyle w:val="ListParagraph"/>
        <w:numPr>
          <w:ilvl w:val="0"/>
          <w:numId w:val="84"/>
        </w:numPr>
      </w:pPr>
      <w:r w:rsidRPr="00052E09">
        <w:t xml:space="preserve">a lack of family and/or community support </w:t>
      </w:r>
      <w:r w:rsidR="001025D7">
        <w:t xml:space="preserve">decreased by </w:t>
      </w:r>
      <w:r w:rsidRPr="00052E09">
        <w:t>47%</w:t>
      </w:r>
      <w:r w:rsidR="001025D7">
        <w:t xml:space="preserve">, from </w:t>
      </w:r>
      <w:r w:rsidR="001025D7" w:rsidRPr="001025D7">
        <w:t>8.6% (n=72)</w:t>
      </w:r>
      <w:r w:rsidR="001025D7">
        <w:t xml:space="preserve"> to </w:t>
      </w:r>
      <w:r w:rsidR="001025D7" w:rsidRPr="001025D7">
        <w:t>4.6% (n=43)</w:t>
      </w:r>
      <w:r w:rsidRPr="00052E09">
        <w:t>.</w:t>
      </w:r>
    </w:p>
    <w:p w14:paraId="57ACB27E" w14:textId="77777777" w:rsidR="004A6B2A" w:rsidRDefault="004A6B2A" w:rsidP="004A6B2A">
      <w:r w:rsidRPr="004B5150">
        <w:t>However, referral data indicates an increase in holistic service provision, which therefore may indicate changes in data capture.</w:t>
      </w:r>
    </w:p>
    <w:p w14:paraId="7E44C9B8" w14:textId="68625860" w:rsidR="004A6B2A" w:rsidRDefault="004A6B2A" w:rsidP="004A6B2A">
      <w:pPr>
        <w:pStyle w:val="Heading3"/>
      </w:pPr>
      <w:r>
        <w:t xml:space="preserve">Service </w:t>
      </w:r>
      <w:r w:rsidR="00DD61BE">
        <w:t>a</w:t>
      </w:r>
      <w:r>
        <w:t>ccess</w:t>
      </w:r>
    </w:p>
    <w:p w14:paraId="2FFB87DD" w14:textId="568CBB0E" w:rsidR="004A6B2A" w:rsidRDefault="004A6B2A" w:rsidP="004A6B2A">
      <w:r>
        <w:t xml:space="preserve">The </w:t>
      </w:r>
      <w:r w:rsidR="001025D7">
        <w:t xml:space="preserve">number of clients receiving case management and the </w:t>
      </w:r>
      <w:r>
        <w:t xml:space="preserve">average amount of contact hours for </w:t>
      </w:r>
      <w:r w:rsidR="001025D7">
        <w:t xml:space="preserve">these </w:t>
      </w:r>
      <w:r>
        <w:t xml:space="preserve">clients </w:t>
      </w:r>
      <w:r w:rsidR="001025D7">
        <w:t xml:space="preserve">both </w:t>
      </w:r>
      <w:r>
        <w:t>increased significantly between the two time periods.</w:t>
      </w:r>
      <w:r w:rsidR="001025D7">
        <w:t xml:space="preserve"> Prior to COVID-19, 748 clients were receiving case management. This increased by 50.9% to 1,129 clients during COVID-19.</w:t>
      </w:r>
    </w:p>
    <w:p w14:paraId="5F97F20A" w14:textId="77777777" w:rsidR="004A6B2A" w:rsidRDefault="004A6B2A" w:rsidP="004A6B2A">
      <w:r>
        <w:t xml:space="preserve">In the period prior to COVID-19, there was an average of 48 contact hours per client. During COVID-19, this rose to 72 hours, an increase of 50%. This may be explained by the increased complexity of providing support. For example, new processes were put in place to authorise legal documents, attend court hearings, and/or provide brokerage funds. Early on there were difficulties in operationalising these processes, and there was also a learning curve for both practitioners and clients. </w:t>
      </w:r>
    </w:p>
    <w:p w14:paraId="632D51C8" w14:textId="77777777" w:rsidR="004A6B2A" w:rsidRDefault="004A6B2A" w:rsidP="004A6B2A">
      <w:r>
        <w:t>Some clients struggled to maintain online access, which may account for the greater number of contact hours. The higher number of hours may also reflect increasingly complex needs for clients – a trend reported by Good Shepherd’s practitioners.</w:t>
      </w:r>
    </w:p>
    <w:p w14:paraId="5CA751ED" w14:textId="77777777" w:rsidR="004A6B2A" w:rsidRDefault="004A6B2A" w:rsidP="004A6B2A">
      <w:r>
        <w:t xml:space="preserve">Keeping women safe and supported during lockdowns was often more challenging, as they were more likely to remain with the perpetrator. In addition, if they chose to leave, this required more planning when it was a breach of public health orders to travel long distances. There is also evidence that indicates more women were experiencing violence for the first time, and that the nature and intensity of the abuse changed with lockdown. </w:t>
      </w:r>
    </w:p>
    <w:p w14:paraId="7E5780C5" w14:textId="60D86C68" w:rsidR="001025D7" w:rsidRDefault="004A6B2A" w:rsidP="004A6B2A">
      <w:r>
        <w:t>Changes in terms of the specific assistance sought included</w:t>
      </w:r>
      <w:r w:rsidR="001025D7">
        <w:t>:</w:t>
      </w:r>
    </w:p>
    <w:p w14:paraId="4CEEE432" w14:textId="7BD00D90" w:rsidR="001025D7" w:rsidRDefault="001025D7" w:rsidP="00717082">
      <w:pPr>
        <w:pStyle w:val="ListParagraph"/>
        <w:numPr>
          <w:ilvl w:val="0"/>
          <w:numId w:val="108"/>
        </w:numPr>
      </w:pPr>
      <w:r>
        <w:t>a small increase in assistance for domestic or family violence</w:t>
      </w:r>
      <w:r>
        <w:tab/>
        <w:t>of 1.8%, from 88% (n=658) to 89.6% (n=1012)</w:t>
      </w:r>
    </w:p>
    <w:p w14:paraId="03B52BC8" w14:textId="3D0D856D" w:rsidR="001025D7" w:rsidRDefault="001025D7" w:rsidP="00717082">
      <w:pPr>
        <w:pStyle w:val="ListParagraph"/>
        <w:numPr>
          <w:ilvl w:val="0"/>
          <w:numId w:val="108"/>
        </w:numPr>
      </w:pPr>
      <w:r>
        <w:t>a small increase in advice or information of 8%, from 77.8% (n=582) to 84% (n=948)</w:t>
      </w:r>
    </w:p>
    <w:p w14:paraId="585D546C" w14:textId="598F9182" w:rsidR="001025D7" w:rsidRDefault="001025D7" w:rsidP="00717082">
      <w:pPr>
        <w:pStyle w:val="ListParagraph"/>
        <w:numPr>
          <w:ilvl w:val="0"/>
          <w:numId w:val="108"/>
        </w:numPr>
      </w:pPr>
      <w:r>
        <w:t>a large decrease in material aid or brokerage of 32.1%, from 43.3% (n=324) to 29.4% (n=332)</w:t>
      </w:r>
    </w:p>
    <w:p w14:paraId="403BFB5F" w14:textId="77777777" w:rsidR="003905E2" w:rsidRDefault="001025D7" w:rsidP="00717082">
      <w:pPr>
        <w:pStyle w:val="ListParagraph"/>
        <w:numPr>
          <w:ilvl w:val="0"/>
          <w:numId w:val="108"/>
        </w:numPr>
      </w:pPr>
      <w:r>
        <w:t>a large decrease in advocacy or liaison on behalf of the client of 18.8%, from 37.7% (n=282) to 30.6% (n=346)</w:t>
      </w:r>
    </w:p>
    <w:p w14:paraId="69C3B44F" w14:textId="4CC7B1EC" w:rsidR="001025D7" w:rsidRDefault="003905E2" w:rsidP="00717082">
      <w:pPr>
        <w:pStyle w:val="ListParagraph"/>
        <w:numPr>
          <w:ilvl w:val="0"/>
          <w:numId w:val="108"/>
        </w:numPr>
      </w:pPr>
      <w:r>
        <w:t xml:space="preserve">a decrease in </w:t>
      </w:r>
      <w:r w:rsidR="001025D7">
        <w:t>basic assistance</w:t>
      </w:r>
      <w:r>
        <w:t xml:space="preserve"> of 12.8%, from </w:t>
      </w:r>
      <w:r w:rsidR="001025D7">
        <w:t>32% (n=239)</w:t>
      </w:r>
      <w:r>
        <w:t xml:space="preserve"> to </w:t>
      </w:r>
      <w:r w:rsidR="001025D7">
        <w:t>27.9% (n=315)</w:t>
      </w:r>
      <w:r>
        <w:t>.</w:t>
      </w:r>
    </w:p>
    <w:p w14:paraId="2A4916F3" w14:textId="77777777" w:rsidR="004A6B2A" w:rsidRDefault="004A6B2A" w:rsidP="004A6B2A">
      <w:r>
        <w:t>The data capture for referrals into Good Shepherd on SHIP was not found to be reliable, as the categories provided are not aligned with how referrals are received. This means practitioners make individual decisions about how a referral is categorised (e.g., one referral may be categorised as a telephone referral, a police referral, or from another DFV agency). In addition, the practices that governed data entry decision-making shifted between the two time periods, meaning that a reliable data comparison was not possible.</w:t>
      </w:r>
    </w:p>
    <w:p w14:paraId="5102354E" w14:textId="77777777" w:rsidR="004A6B2A" w:rsidRDefault="004A6B2A" w:rsidP="004A6B2A">
      <w:r>
        <w:t>However, referral patterns into Good Shepherd’s family violence services are primarily through The Orange Door and Safe Steps, with some clients self-referring. These patterns did not shift markedly between time periods, although the volume increased significantly. There was</w:t>
      </w:r>
      <w:r w:rsidDel="00091B7F">
        <w:t xml:space="preserve"> </w:t>
      </w:r>
      <w:r>
        <w:t>anecdotal evidence about an increase in self-referrals, although ‘self-referral’ is not an option in the way that Good Shepherd records data in SHIP, so this trend cannot be verified with data.</w:t>
      </w:r>
    </w:p>
    <w:p w14:paraId="5CC3C0AF" w14:textId="77777777" w:rsidR="004A6B2A" w:rsidRDefault="004A6B2A" w:rsidP="004A6B2A">
      <w:r>
        <w:t>Only three categories of referrals out to other services decreased during the COVID-19 timeframe:</w:t>
      </w:r>
    </w:p>
    <w:p w14:paraId="5CC3E120" w14:textId="77777777" w:rsidR="004A6B2A" w:rsidRPr="00DD61BE" w:rsidRDefault="004A6B2A" w:rsidP="00717082">
      <w:pPr>
        <w:pStyle w:val="ListParagraph"/>
        <w:numPr>
          <w:ilvl w:val="0"/>
          <w:numId w:val="85"/>
        </w:numPr>
      </w:pPr>
      <w:r w:rsidRPr="00DD61BE">
        <w:t>assistance for domestic or family violence –</w:t>
      </w:r>
      <w:r w:rsidRPr="00DD61BE" w:rsidDel="00D45582">
        <w:t xml:space="preserve"> </w:t>
      </w:r>
      <w:r w:rsidRPr="00DD61BE">
        <w:t>83.1% decrease</w:t>
      </w:r>
    </w:p>
    <w:p w14:paraId="61A06383" w14:textId="77777777" w:rsidR="004A6B2A" w:rsidRPr="00DD61BE" w:rsidRDefault="004A6B2A" w:rsidP="00717082">
      <w:pPr>
        <w:pStyle w:val="ListParagraph"/>
        <w:numPr>
          <w:ilvl w:val="0"/>
          <w:numId w:val="85"/>
        </w:numPr>
      </w:pPr>
      <w:r w:rsidRPr="00DD61BE">
        <w:t>advice or information –</w:t>
      </w:r>
      <w:r w:rsidRPr="00DD61BE" w:rsidDel="00D45582">
        <w:t xml:space="preserve"> </w:t>
      </w:r>
      <w:r w:rsidRPr="00DD61BE">
        <w:t>56.5% decrease</w:t>
      </w:r>
    </w:p>
    <w:p w14:paraId="61167F17" w14:textId="77777777" w:rsidR="004A6B2A" w:rsidRPr="00DD61BE" w:rsidRDefault="004A6B2A" w:rsidP="00717082">
      <w:pPr>
        <w:pStyle w:val="ListParagraph"/>
        <w:numPr>
          <w:ilvl w:val="0"/>
          <w:numId w:val="85"/>
        </w:numPr>
      </w:pPr>
      <w:r w:rsidRPr="00DD61BE">
        <w:t>family or relationship assistance –</w:t>
      </w:r>
      <w:r w:rsidRPr="00DD61BE" w:rsidDel="00D45582">
        <w:t xml:space="preserve"> </w:t>
      </w:r>
      <w:r w:rsidRPr="00DD61BE">
        <w:t>52.6% decrease.</w:t>
      </w:r>
    </w:p>
    <w:p w14:paraId="371681C7" w14:textId="77777777" w:rsidR="004A6B2A" w:rsidRDefault="004A6B2A" w:rsidP="004A6B2A">
      <w:r>
        <w:t>Referrals for domestic or family violence support include when a client moves out of area and is transferred to a new service.</w:t>
      </w:r>
      <w:r w:rsidDel="00A926A7">
        <w:t xml:space="preserve"> </w:t>
      </w:r>
      <w:r>
        <w:t>The reduction in these referrals therefore likely reflects the reduced amount of movement that occurred during lockdowns.</w:t>
      </w:r>
    </w:p>
    <w:p w14:paraId="757D82C3" w14:textId="77777777" w:rsidR="004A6B2A" w:rsidRDefault="004A6B2A" w:rsidP="004A6B2A">
      <w:r>
        <w:t>Material aid or brokerage more than doubled, increasing 167% between the periods prior to and during COVID-19. This change reflects in part the intentional increase in brokerage funds provided during COVID-19.</w:t>
      </w:r>
    </w:p>
    <w:p w14:paraId="6B0E5A04" w14:textId="77777777" w:rsidR="004A6B2A" w:rsidRDefault="004A6B2A" w:rsidP="004A6B2A">
      <w:r>
        <w:t>During the COVID-19 period, clients appeared to be accessing specialist counselling services more often, with referrals more than doubling from 2.6% prior to COVID-19 to 5.8% during COVID-19. While the number of clients accessing external advocacy or liaison support during COVID-19 can be considered fairly low at 2.4%, this marks a significant rise from the period prior to COVID-19 (less than 1%). Referrals for housing also increased significantly, at 50%, referrals for financial information increased by 44%, and specialised assistance for trauma increased by 14%.</w:t>
      </w:r>
    </w:p>
    <w:p w14:paraId="20A029F1" w14:textId="3A789F3B" w:rsidR="004A6B2A" w:rsidRDefault="004A6B2A" w:rsidP="004A6B2A">
      <w:r>
        <w:t>Taken together, the trends seem to indicate that clients were accessing more specialised services and support during COVID-19 than they previously did.</w:t>
      </w:r>
    </w:p>
    <w:p w14:paraId="4081607E" w14:textId="76094821" w:rsidR="003905E2" w:rsidRDefault="003905E2" w:rsidP="004A6B2A">
      <w:r>
        <w:t>Between the two time periods this case study examines, Good Shepherd recorded the following changes in the types of external referrals it made for its clients:</w:t>
      </w:r>
    </w:p>
    <w:p w14:paraId="72A73AB9" w14:textId="16C1B978" w:rsidR="003905E2" w:rsidRDefault="003905E2" w:rsidP="00717082">
      <w:pPr>
        <w:pStyle w:val="ListParagraph"/>
        <w:numPr>
          <w:ilvl w:val="0"/>
          <w:numId w:val="109"/>
        </w:numPr>
      </w:pPr>
      <w:r>
        <w:t>material aid or brokerage increased by 166.6%, from 4% of referrals (n=36) to 9.6% of referrals (n=96)</w:t>
      </w:r>
    </w:p>
    <w:p w14:paraId="1484C0EC" w14:textId="30732535" w:rsidR="003905E2" w:rsidRDefault="003905E2" w:rsidP="00717082">
      <w:pPr>
        <w:pStyle w:val="ListParagraph"/>
        <w:numPr>
          <w:ilvl w:val="0"/>
          <w:numId w:val="109"/>
        </w:numPr>
      </w:pPr>
      <w:r>
        <w:t>assistance for domestic or family violence decreased by 83.1%, from 8.6% (n=77) to 1.3% (n=13)</w:t>
      </w:r>
    </w:p>
    <w:p w14:paraId="43E9DEFF" w14:textId="3D0DBA6C" w:rsidR="003905E2" w:rsidRDefault="003905E2" w:rsidP="00717082">
      <w:pPr>
        <w:pStyle w:val="ListParagraph"/>
        <w:numPr>
          <w:ilvl w:val="0"/>
          <w:numId w:val="109"/>
        </w:numPr>
      </w:pPr>
      <w:r>
        <w:t>housing services increased by 50%, from 2.6% (n=24) to 3.6% (n=36)</w:t>
      </w:r>
    </w:p>
    <w:p w14:paraId="7E1CBE7D" w14:textId="684446A4" w:rsidR="003905E2" w:rsidRDefault="003905E2" w:rsidP="00717082">
      <w:pPr>
        <w:pStyle w:val="ListParagraph"/>
        <w:numPr>
          <w:ilvl w:val="0"/>
          <w:numId w:val="109"/>
        </w:numPr>
      </w:pPr>
      <w:r>
        <w:t>specialist counselling services increased by 141.6%, from 2.6% (n=24) to 5.8% (n=58)</w:t>
      </w:r>
    </w:p>
    <w:p w14:paraId="2FC4CA28" w14:textId="49E3FE16" w:rsidR="003905E2" w:rsidRDefault="003905E2" w:rsidP="00717082">
      <w:pPr>
        <w:pStyle w:val="ListParagraph"/>
        <w:numPr>
          <w:ilvl w:val="0"/>
          <w:numId w:val="109"/>
        </w:numPr>
      </w:pPr>
      <w:r>
        <w:t>assistance for trauma increased by 13.6%, from 2.4% (n=22) to 2.5% (n=25)</w:t>
      </w:r>
    </w:p>
    <w:p w14:paraId="2B8C270A" w14:textId="027C0C92" w:rsidR="003905E2" w:rsidRDefault="003905E2" w:rsidP="00717082">
      <w:pPr>
        <w:pStyle w:val="ListParagraph"/>
        <w:numPr>
          <w:ilvl w:val="0"/>
          <w:numId w:val="109"/>
        </w:numPr>
      </w:pPr>
      <w:r>
        <w:t>financial information increased by 44.4%, from 4% (n=36) to 5.2% (n=52)</w:t>
      </w:r>
    </w:p>
    <w:p w14:paraId="3AC2818D" w14:textId="0CBE55D4" w:rsidR="003905E2" w:rsidRDefault="003905E2" w:rsidP="00717082">
      <w:pPr>
        <w:pStyle w:val="ListParagraph"/>
        <w:numPr>
          <w:ilvl w:val="0"/>
          <w:numId w:val="109"/>
        </w:numPr>
      </w:pPr>
      <w:r>
        <w:t>advice or information decreased by 56.5%, from 2.5% (n=23) to 1% (n=10)</w:t>
      </w:r>
    </w:p>
    <w:p w14:paraId="52F0CCAC" w14:textId="5B2648AB" w:rsidR="003905E2" w:rsidRDefault="003905E2" w:rsidP="00717082">
      <w:pPr>
        <w:pStyle w:val="ListParagraph"/>
        <w:numPr>
          <w:ilvl w:val="0"/>
          <w:numId w:val="109"/>
        </w:numPr>
      </w:pPr>
      <w:r>
        <w:t>family or relationship assistance decreased by 52.6%, from 2.1% (n=19) to 0.9% (n=9)</w:t>
      </w:r>
    </w:p>
    <w:p w14:paraId="5D2114F2" w14:textId="2C01FB6D" w:rsidR="003905E2" w:rsidRDefault="003905E2" w:rsidP="00717082">
      <w:pPr>
        <w:pStyle w:val="ListParagraph"/>
        <w:numPr>
          <w:ilvl w:val="0"/>
          <w:numId w:val="109"/>
        </w:numPr>
      </w:pPr>
      <w:r>
        <w:t>advocacy or liaison on behalf of the client increased by 242.8%%, from 0.7% (n=7) to 2.4% (n=24).</w:t>
      </w:r>
    </w:p>
    <w:p w14:paraId="63175F09" w14:textId="06354C71" w:rsidR="003905E2" w:rsidRDefault="003905E2" w:rsidP="003905E2">
      <w:r>
        <w:t>In total, there were 894 external referrals in the period prior to COVID-19 and 998 during COVID-19.</w:t>
      </w:r>
    </w:p>
    <w:p w14:paraId="2AA9E14B" w14:textId="77777777" w:rsidR="0065031F" w:rsidRDefault="0065031F">
      <w:pPr>
        <w:spacing w:line="259" w:lineRule="auto"/>
        <w:rPr>
          <w:rFonts w:eastAsiaTheme="majorEastAsia" w:cs="Assistant SemiBold"/>
          <w:b/>
          <w:color w:val="323E4F" w:themeColor="text2" w:themeShade="BF"/>
          <w:sz w:val="44"/>
          <w:szCs w:val="40"/>
        </w:rPr>
      </w:pPr>
      <w:bookmarkStart w:id="48" w:name="_Toc95734895"/>
      <w:r>
        <w:br w:type="page"/>
      </w:r>
    </w:p>
    <w:p w14:paraId="14084FC2" w14:textId="7B3490F4" w:rsidR="004A6B2A" w:rsidRDefault="004A6B2A" w:rsidP="004A6B2A">
      <w:pPr>
        <w:pStyle w:val="Heading2"/>
      </w:pPr>
      <w:bookmarkStart w:id="49" w:name="_Toc98760945"/>
      <w:r>
        <w:t xml:space="preserve">Organisational </w:t>
      </w:r>
      <w:r w:rsidR="00DD61BE">
        <w:t>r</w:t>
      </w:r>
      <w:r>
        <w:t>esponse</w:t>
      </w:r>
      <w:bookmarkEnd w:id="48"/>
      <w:bookmarkEnd w:id="49"/>
    </w:p>
    <w:p w14:paraId="1DE89068" w14:textId="3C6C22E0" w:rsidR="004A6B2A" w:rsidRDefault="004A6B2A" w:rsidP="004A6B2A">
      <w:pPr>
        <w:pStyle w:val="Heading3"/>
      </w:pPr>
      <w:r>
        <w:t xml:space="preserve">Changes in </w:t>
      </w:r>
      <w:r w:rsidR="00DD61BE">
        <w:t>f</w:t>
      </w:r>
      <w:r>
        <w:t xml:space="preserve">amily </w:t>
      </w:r>
      <w:r w:rsidR="00DD61BE">
        <w:t>v</w:t>
      </w:r>
      <w:r>
        <w:t xml:space="preserve">iolence </w:t>
      </w:r>
      <w:r w:rsidR="00DD61BE">
        <w:t>p</w:t>
      </w:r>
      <w:r>
        <w:t xml:space="preserve">resentation and </w:t>
      </w:r>
      <w:r w:rsidR="00DD61BE">
        <w:t>s</w:t>
      </w:r>
      <w:r>
        <w:t xml:space="preserve">ervice </w:t>
      </w:r>
      <w:r w:rsidR="00DD61BE">
        <w:t>s</w:t>
      </w:r>
      <w:r>
        <w:t>upport</w:t>
      </w:r>
    </w:p>
    <w:p w14:paraId="7DF8B1D4" w14:textId="77777777" w:rsidR="004A6B2A" w:rsidRDefault="004A6B2A" w:rsidP="004A6B2A">
      <w:r>
        <w:t>Good Shepherd’s data shows a significant increase in both family violence caseload and average contact hours between the periods prior to and during COVID-19. Clients receiving case management</w:t>
      </w:r>
      <w:r w:rsidDel="00745076">
        <w:t xml:space="preserve"> </w:t>
      </w:r>
      <w:r>
        <w:t>increased 51%, from 748 prior to COVID-19 to 1,129 during the COVID-19 period. Average contact hours increased by 50%, from 48 hours prior to COVID-19 to 72 hours during COVID-19. Practitioners confirmed that moving service delivery from a primarily face-to-face interaction to either telephone or online support corresponded with an increase in average contact hours per client.</w:t>
      </w:r>
    </w:p>
    <w:p w14:paraId="48CB203B" w14:textId="77777777" w:rsidR="004A6B2A" w:rsidRDefault="004A6B2A" w:rsidP="004A6B2A">
      <w:r>
        <w:t>Where possible, Good Shepherd’s family violence team adapted service delivery to provide services by telephone, online support and/or video conferencing with clients. Face-to-face contact was maintained for refuges and after-hours crisis support. Permission to provide face-to-face contact was also granted in some cases (e.g., in supporting CALD clients). Overall, the family violence practitioners felt that this method of service delivery was a positive experience for most clients. For example, one practitioner said:</w:t>
      </w:r>
    </w:p>
    <w:p w14:paraId="527612B1" w14:textId="77777777" w:rsidR="003E1438" w:rsidRDefault="004A6B2A" w:rsidP="004A6B2A">
      <w:pPr>
        <w:pStyle w:val="Quote"/>
      </w:pPr>
      <w:r>
        <w:t>“Many clients enjoyed phone/[online] applications as they do not have to leave home. A minority of participants have expressed difficulties with accessing IT platforms and returning of documents”</w:t>
      </w:r>
    </w:p>
    <w:p w14:paraId="33A047FC" w14:textId="357E16B8" w:rsidR="004A6B2A" w:rsidRDefault="008934C0" w:rsidP="008934C0">
      <w:pPr>
        <w:pStyle w:val="QuoteAttribution"/>
      </w:pPr>
      <w:r>
        <w:t>F</w:t>
      </w:r>
      <w:r w:rsidR="004A6B2A">
        <w:t>amily violence practitioner</w:t>
      </w:r>
    </w:p>
    <w:p w14:paraId="26F64C24" w14:textId="77777777" w:rsidR="004A6B2A" w:rsidRDefault="004A6B2A" w:rsidP="004A6B2A">
      <w:r>
        <w:t>Another specifically mentioned the improved support for clients in remote areas:</w:t>
      </w:r>
    </w:p>
    <w:p w14:paraId="56920EB6" w14:textId="77777777" w:rsidR="008934C0" w:rsidRDefault="004A6B2A" w:rsidP="004A6B2A">
      <w:pPr>
        <w:pStyle w:val="Quote"/>
      </w:pPr>
      <w:r>
        <w:t>“Remote services provide an opportunity to support people in rural, regional and remote areas that may otherwise find it very difficult to access services”</w:t>
      </w:r>
    </w:p>
    <w:p w14:paraId="51D3C064" w14:textId="309958EA" w:rsidR="004A6B2A" w:rsidRDefault="008934C0" w:rsidP="008934C0">
      <w:pPr>
        <w:pStyle w:val="QuoteAttribution"/>
      </w:pPr>
      <w:r>
        <w:t>S</w:t>
      </w:r>
      <w:r w:rsidR="004A6B2A">
        <w:t>pecialist financial coach</w:t>
      </w:r>
    </w:p>
    <w:p w14:paraId="4388A8D3" w14:textId="77777777" w:rsidR="004A6B2A" w:rsidRDefault="004A6B2A" w:rsidP="004A6B2A">
      <w:r>
        <w:t>The general sense was that these changes to service delivery worked well, and that providing services through telephone or online platforms should continue as an option for some clients going forward. However, there were also concerns that the changes to service delivery created barriers for some women to engage. As one practitioner said:</w:t>
      </w:r>
    </w:p>
    <w:p w14:paraId="0AB2D5B1" w14:textId="77777777" w:rsidR="003E1438" w:rsidRDefault="004A6B2A" w:rsidP="004A6B2A">
      <w:pPr>
        <w:pStyle w:val="Quote"/>
      </w:pPr>
      <w:r>
        <w:t>“COVID increased risk of isolation and… being controlled. This made it harder to reach out for help when needed”</w:t>
      </w:r>
    </w:p>
    <w:p w14:paraId="6CC18117" w14:textId="4AC51595" w:rsidR="004A6B2A" w:rsidRDefault="003E1438" w:rsidP="003E1438">
      <w:pPr>
        <w:pStyle w:val="QuoteAttribution"/>
      </w:pPr>
      <w:r>
        <w:t>F</w:t>
      </w:r>
      <w:r w:rsidR="004A6B2A">
        <w:t>amily violence practitioner</w:t>
      </w:r>
    </w:p>
    <w:p w14:paraId="56823269" w14:textId="77777777" w:rsidR="004A6B2A" w:rsidRDefault="004A6B2A" w:rsidP="004A6B2A">
      <w:r>
        <w:t xml:space="preserve">Therefore, while there was an overall increase in women accessing family violence services, it is unknown whether changes in service delivery led to some cohorts failing to successfully engage. Practitioners expressed concerns that, for women who did not speak English as their first language, telephone or online services created a barrier – there were increased complexities when using an interpreter, and the lack of in-person cues made effective communication more challenging. </w:t>
      </w:r>
      <w:r w:rsidRPr="003C2C22">
        <w:t xml:space="preserve">Other women may not have </w:t>
      </w:r>
      <w:r>
        <w:t xml:space="preserve">had </w:t>
      </w:r>
      <w:r w:rsidRPr="003C2C22">
        <w:t>the technology</w:t>
      </w:r>
      <w:r>
        <w:t xml:space="preserve"> –</w:t>
      </w:r>
      <w:r w:rsidRPr="003C2C22">
        <w:t xml:space="preserve"> or the skills to use it</w:t>
      </w:r>
      <w:r>
        <w:t xml:space="preserve"> –</w:t>
      </w:r>
      <w:r w:rsidRPr="003C2C22">
        <w:t xml:space="preserve"> necessary for effective support during lockdown periods.</w:t>
      </w:r>
    </w:p>
    <w:p w14:paraId="5BD4C514" w14:textId="77777777" w:rsidR="004A6B2A" w:rsidRDefault="004A6B2A" w:rsidP="004A6B2A">
      <w:r>
        <w:t>The other primary concern raised by family violence practitioners was related to the difficulties with the practicalities of support. Practitioners specifically mentioned:</w:t>
      </w:r>
    </w:p>
    <w:p w14:paraId="0C996F6E" w14:textId="77777777" w:rsidR="004A6B2A" w:rsidRPr="00DD61BE" w:rsidRDefault="004A6B2A" w:rsidP="00717082">
      <w:pPr>
        <w:pStyle w:val="ListParagraph"/>
        <w:numPr>
          <w:ilvl w:val="0"/>
          <w:numId w:val="86"/>
        </w:numPr>
      </w:pPr>
      <w:r w:rsidRPr="00DD61BE">
        <w:t>supporting women in court proceedings or with the police</w:t>
      </w:r>
    </w:p>
    <w:p w14:paraId="7554764C" w14:textId="77777777" w:rsidR="004A6B2A" w:rsidRPr="00DD61BE" w:rsidRDefault="004A6B2A" w:rsidP="00717082">
      <w:pPr>
        <w:pStyle w:val="ListParagraph"/>
        <w:numPr>
          <w:ilvl w:val="0"/>
          <w:numId w:val="86"/>
        </w:numPr>
      </w:pPr>
      <w:r w:rsidRPr="00DD61BE">
        <w:t>linking clients to other services</w:t>
      </w:r>
    </w:p>
    <w:p w14:paraId="444B294F" w14:textId="77777777" w:rsidR="004A6B2A" w:rsidRPr="00DD61BE" w:rsidRDefault="004A6B2A" w:rsidP="00717082">
      <w:pPr>
        <w:pStyle w:val="ListParagraph"/>
        <w:numPr>
          <w:ilvl w:val="0"/>
          <w:numId w:val="86"/>
        </w:numPr>
      </w:pPr>
      <w:r w:rsidRPr="00DD61BE">
        <w:t>issuing and using store vouchers</w:t>
      </w:r>
    </w:p>
    <w:p w14:paraId="127CA487" w14:textId="77777777" w:rsidR="004A6B2A" w:rsidRPr="00DD61BE" w:rsidRDefault="004A6B2A" w:rsidP="00717082">
      <w:pPr>
        <w:pStyle w:val="ListParagraph"/>
        <w:numPr>
          <w:ilvl w:val="0"/>
          <w:numId w:val="86"/>
        </w:numPr>
      </w:pPr>
      <w:r w:rsidRPr="00DD61BE">
        <w:t>organising paperwork more generally in an online-friendly manner.</w:t>
      </w:r>
    </w:p>
    <w:p w14:paraId="52C086F0" w14:textId="77777777" w:rsidR="004A6B2A" w:rsidRDefault="004A6B2A" w:rsidP="004A6B2A">
      <w:r>
        <w:t xml:space="preserve">However, the upside was that forms and support that traditionally needed to be completed in person became easier to process over time in a virtual manner. While the transition was imperfect and at times painful, the end result was faster, improved processes. </w:t>
      </w:r>
    </w:p>
    <w:p w14:paraId="3F05925C" w14:textId="77777777" w:rsidR="004A6B2A" w:rsidRDefault="004A6B2A" w:rsidP="004A6B2A">
      <w:r>
        <w:t>Most practitioners found remote service provision to be a positive experience, providing them with more flexibility and time to provide support. Practitioners did raise some concerns, including:</w:t>
      </w:r>
    </w:p>
    <w:p w14:paraId="53CC9FD9" w14:textId="77777777" w:rsidR="004A6B2A" w:rsidRPr="00DD61BE" w:rsidRDefault="004A6B2A" w:rsidP="00717082">
      <w:pPr>
        <w:pStyle w:val="ListParagraph"/>
        <w:numPr>
          <w:ilvl w:val="0"/>
          <w:numId w:val="87"/>
        </w:numPr>
      </w:pPr>
      <w:r w:rsidRPr="00DD61BE">
        <w:t>one practitioner’s concern that children were often in the other room and may overhear difficult conversations</w:t>
      </w:r>
    </w:p>
    <w:p w14:paraId="6C1D2C29" w14:textId="77777777" w:rsidR="004A6B2A" w:rsidRPr="00DD61BE" w:rsidRDefault="004A6B2A" w:rsidP="00717082">
      <w:pPr>
        <w:pStyle w:val="ListParagraph"/>
        <w:numPr>
          <w:ilvl w:val="0"/>
          <w:numId w:val="87"/>
        </w:numPr>
      </w:pPr>
      <w:r w:rsidRPr="00DD61BE">
        <w:t xml:space="preserve">two practitioners’ mentions of the need for more support for staff due to the increased workload, their own mental health challenges related to the pandemic generally, and incidental trauma from client contact. </w:t>
      </w:r>
    </w:p>
    <w:p w14:paraId="3634030D" w14:textId="52B96A45" w:rsidR="004A6B2A" w:rsidRDefault="004A6B2A" w:rsidP="004A6B2A">
      <w:pPr>
        <w:pStyle w:val="Heading3"/>
      </w:pPr>
      <w:r>
        <w:t xml:space="preserve">Presentation of </w:t>
      </w:r>
      <w:r w:rsidR="00DD61BE">
        <w:t>f</w:t>
      </w:r>
      <w:r>
        <w:t xml:space="preserve">amily </w:t>
      </w:r>
      <w:r w:rsidR="00DD61BE">
        <w:t>v</w:t>
      </w:r>
      <w:r>
        <w:t xml:space="preserve">iolence in </w:t>
      </w:r>
      <w:r w:rsidR="00DD61BE">
        <w:t>f</w:t>
      </w:r>
      <w:r>
        <w:t xml:space="preserve">inancial </w:t>
      </w:r>
      <w:r w:rsidR="00DD61BE">
        <w:t>c</w:t>
      </w:r>
      <w:r>
        <w:t>ounselling</w:t>
      </w:r>
    </w:p>
    <w:p w14:paraId="0465E1C4" w14:textId="77777777" w:rsidR="004A6B2A" w:rsidRDefault="004A6B2A" w:rsidP="004A6B2A">
      <w:r>
        <w:t>In Victoria, the number of family violence clients accessing Good Shepherd’s financial counselling services has steadily increased across the COVID-19 period. This number rose from 455 clients in 2019 to 532 in 2020. This number was already at 587 by September 2021, representing an increase of 29% across the three years.</w:t>
      </w:r>
    </w:p>
    <w:p w14:paraId="067BA88D" w14:textId="77777777" w:rsidR="004A6B2A" w:rsidRDefault="004A6B2A" w:rsidP="004A6B2A">
      <w:r>
        <w:t>Direct referrals from Good Shepherd’s family violence team and other family violence services (including The Orange Door, Salvation Army and GenWest) decreased significantly during lockdown periods in 2020 and 2021. According to</w:t>
      </w:r>
      <w:r w:rsidDel="00A45164">
        <w:t xml:space="preserve"> </w:t>
      </w:r>
      <w:r>
        <w:t>Good Shepherd’s financial counselling program manager, there were “very few if any” direct referrals. This significant increase is therefore driven almost completely by self-referrals. This may reflect increases in economic abuse, which tended to spike during lockdown periods as financial stress increased for many households.</w:t>
      </w:r>
    </w:p>
    <w:p w14:paraId="50FDD667" w14:textId="77777777" w:rsidR="004A6B2A" w:rsidRDefault="004A6B2A" w:rsidP="004A6B2A">
      <w:r>
        <w:t xml:space="preserve">Some family violence practitioners cited the Coronavirus Supplement, JobKeeper and disaster payments as supporting a reduction in both economic abuse and family violence more generally. The reduction or removal of these protective measures resulted in sharp increases in economic abuse. </w:t>
      </w:r>
    </w:p>
    <w:p w14:paraId="35171B90" w14:textId="77777777" w:rsidR="004A6B2A" w:rsidRDefault="004A6B2A" w:rsidP="004A6B2A">
      <w:r>
        <w:t>Ninety percent of financial services practitioners indicated they were seeing economic abuse in casework, while 67% of family violence practitioners indicated seeing an increase in economic abuse. Specific examples included:</w:t>
      </w:r>
    </w:p>
    <w:p w14:paraId="52893D9A" w14:textId="77777777" w:rsidR="004A6B2A" w:rsidRPr="00DD61BE" w:rsidRDefault="004A6B2A" w:rsidP="00717082">
      <w:pPr>
        <w:pStyle w:val="ListParagraph"/>
        <w:numPr>
          <w:ilvl w:val="0"/>
          <w:numId w:val="88"/>
        </w:numPr>
      </w:pPr>
      <w:r w:rsidRPr="00DD61BE">
        <w:t>coercion into loan guarantees</w:t>
      </w:r>
    </w:p>
    <w:p w14:paraId="760D1210" w14:textId="77777777" w:rsidR="004A6B2A" w:rsidRPr="00DD61BE" w:rsidRDefault="004A6B2A" w:rsidP="00717082">
      <w:pPr>
        <w:pStyle w:val="ListParagraph"/>
        <w:numPr>
          <w:ilvl w:val="0"/>
          <w:numId w:val="88"/>
        </w:numPr>
      </w:pPr>
      <w:r w:rsidRPr="00DD61BE">
        <w:t>identification fraud to access online credit</w:t>
      </w:r>
    </w:p>
    <w:p w14:paraId="6E7AD6D6" w14:textId="77777777" w:rsidR="004A6B2A" w:rsidRPr="00DD61BE" w:rsidRDefault="004A6B2A" w:rsidP="00717082">
      <w:pPr>
        <w:pStyle w:val="ListParagraph"/>
        <w:numPr>
          <w:ilvl w:val="0"/>
          <w:numId w:val="88"/>
        </w:numPr>
      </w:pPr>
      <w:r w:rsidRPr="00DD61BE">
        <w:t>perpetrators opening multiple buy now pay later (BNPL) accounts in the victim-survivor’s name.</w:t>
      </w:r>
    </w:p>
    <w:p w14:paraId="7990C6A6" w14:textId="77777777" w:rsidR="004A6B2A" w:rsidRDefault="004A6B2A" w:rsidP="004A6B2A">
      <w:r>
        <w:t>Family services practitioners specifically mentioned cases where parents who were separating had to remain in the same home due to lockdown orders, with the perpetrator refusing to meet rent or mortgage payments.</w:t>
      </w:r>
    </w:p>
    <w:p w14:paraId="6A3ECBF1" w14:textId="1F0076C2" w:rsidR="004A6B2A" w:rsidRDefault="004A6B2A" w:rsidP="004A6B2A">
      <w:pPr>
        <w:pStyle w:val="Heading3"/>
      </w:pPr>
      <w:r>
        <w:t xml:space="preserve">What the </w:t>
      </w:r>
      <w:r w:rsidR="00DD61BE">
        <w:t>f</w:t>
      </w:r>
      <w:r>
        <w:t xml:space="preserve">uture </w:t>
      </w:r>
      <w:r w:rsidR="00DD61BE">
        <w:t>h</w:t>
      </w:r>
      <w:r>
        <w:t>olds</w:t>
      </w:r>
    </w:p>
    <w:p w14:paraId="0622D99C" w14:textId="77777777" w:rsidR="004A6B2A" w:rsidRDefault="004A6B2A" w:rsidP="004A6B2A">
      <w:r>
        <w:t>Overall, Good Shepherd practitioners were pleased that changes in service provision made support more accessible. They also expect that going forward there will be an increase in remote support, particularly through telephone and online channels.</w:t>
      </w:r>
    </w:p>
    <w:p w14:paraId="0202EF39" w14:textId="77777777" w:rsidR="004A6B2A" w:rsidRDefault="004A6B2A" w:rsidP="004A6B2A">
      <w:r>
        <w:t>Provisions that were put into place for completing paperwork online, including court documents, represent a positive change that practitioners hope to see continued. For example, it is now both easier and safer for women to submit an intervention order online than having to visit the courts to do so. However, the benefits of face-to-face support</w:t>
      </w:r>
      <w:r w:rsidRPr="001921B6">
        <w:t xml:space="preserve"> </w:t>
      </w:r>
      <w:r>
        <w:t>mean that in-person interactions will remain a critical component of effective service delivery, particularly for:</w:t>
      </w:r>
    </w:p>
    <w:p w14:paraId="459FFE00" w14:textId="77777777" w:rsidR="004A6B2A" w:rsidRDefault="004A6B2A" w:rsidP="00717082">
      <w:pPr>
        <w:pStyle w:val="ListParagraph"/>
        <w:numPr>
          <w:ilvl w:val="0"/>
          <w:numId w:val="54"/>
        </w:numPr>
        <w:spacing w:line="360" w:lineRule="auto"/>
        <w:ind w:right="0"/>
      </w:pPr>
      <w:r>
        <w:t>family welfare checks</w:t>
      </w:r>
    </w:p>
    <w:p w14:paraId="25E02ADC" w14:textId="77777777" w:rsidR="004A6B2A" w:rsidRDefault="004A6B2A" w:rsidP="00717082">
      <w:pPr>
        <w:pStyle w:val="ListParagraph"/>
        <w:numPr>
          <w:ilvl w:val="0"/>
          <w:numId w:val="54"/>
        </w:numPr>
        <w:spacing w:line="360" w:lineRule="auto"/>
        <w:ind w:right="0"/>
      </w:pPr>
      <w:r>
        <w:t>supporting children effectively</w:t>
      </w:r>
    </w:p>
    <w:p w14:paraId="23D8F0C5" w14:textId="77777777" w:rsidR="004A6B2A" w:rsidRDefault="004A6B2A" w:rsidP="00717082">
      <w:pPr>
        <w:pStyle w:val="ListParagraph"/>
        <w:numPr>
          <w:ilvl w:val="0"/>
          <w:numId w:val="54"/>
        </w:numPr>
        <w:spacing w:line="360" w:lineRule="auto"/>
        <w:ind w:right="0"/>
      </w:pPr>
      <w:r>
        <w:t>supporting women who do not speak English as their first language</w:t>
      </w:r>
    </w:p>
    <w:p w14:paraId="54998DE8" w14:textId="77777777" w:rsidR="004A6B2A" w:rsidRDefault="004A6B2A" w:rsidP="00717082">
      <w:pPr>
        <w:pStyle w:val="ListParagraph"/>
        <w:numPr>
          <w:ilvl w:val="0"/>
          <w:numId w:val="54"/>
        </w:numPr>
        <w:spacing w:line="360" w:lineRule="auto"/>
        <w:ind w:right="0"/>
      </w:pPr>
      <w:r>
        <w:t>women and families who experience technological barriers</w:t>
      </w:r>
    </w:p>
    <w:p w14:paraId="21E5DD0B" w14:textId="77777777" w:rsidR="004A6B2A" w:rsidRDefault="004A6B2A" w:rsidP="00717082">
      <w:pPr>
        <w:pStyle w:val="ListParagraph"/>
        <w:numPr>
          <w:ilvl w:val="0"/>
          <w:numId w:val="54"/>
        </w:numPr>
        <w:spacing w:line="360" w:lineRule="auto"/>
        <w:ind w:right="0"/>
      </w:pPr>
      <w:r>
        <w:t>immediate crisis support.</w:t>
      </w:r>
    </w:p>
    <w:p w14:paraId="0A5DA7B8" w14:textId="77777777" w:rsidR="004A6B2A" w:rsidRDefault="004A6B2A" w:rsidP="004A6B2A">
      <w:r>
        <w:t>Good Shepherd sees increasing the financial safety net for women fleeing violence as a foundational action that government could and should take, as the positive impacts were evident of government supports related to COVID-19. These included the temporary increases in some Centrelink payments and the increase in brokerage funds.</w:t>
      </w:r>
    </w:p>
    <w:p w14:paraId="45F80493" w14:textId="77777777" w:rsidR="004A6B2A" w:rsidRDefault="004A6B2A" w:rsidP="004A6B2A">
      <w:r>
        <w:t>Equally critical is the need for a more comprehensive system to ensure safe, affordable and stable housing options for women leaving violence. The eviction moratorium, for example, contributed greatly to women’s security.</w:t>
      </w:r>
    </w:p>
    <w:p w14:paraId="56D46739" w14:textId="77777777" w:rsidR="004A6B2A" w:rsidRDefault="004A6B2A" w:rsidP="004A6B2A">
      <w:r>
        <w:t>Another very specific response by Good Shepherd to the pandemic has been to offer an existing refuge or crisis accommodation for COVID-19 positive women. This has enabled women who have had COVID-19 or who have been looking after children who have COVID-19 to leave family violence in a safe manner.</w:t>
      </w:r>
    </w:p>
    <w:p w14:paraId="0E3EE3C6" w14:textId="77777777" w:rsidR="00972F03" w:rsidRDefault="004A6B2A" w:rsidP="00972F03">
      <w:r>
        <w:t>Good Shepherd has been on a continual journey to provide holistic supports for victim-survivors. Financial insecurity both makes experiences of violence more likely and makes it more difficult to leave violence, thereby compromising women’s and children’s safety. Tailored programs for victim-survivors of family violence seek to improve women’s financial security.</w:t>
      </w:r>
    </w:p>
    <w:p w14:paraId="0FFCD834" w14:textId="77777777" w:rsidR="00972F03" w:rsidRDefault="00972F03" w:rsidP="00972F03"/>
    <w:p w14:paraId="395BF337" w14:textId="7E689C3E" w:rsidR="00972F03" w:rsidRDefault="00972F03" w:rsidP="00972F03">
      <w:pPr>
        <w:sectPr w:rsidR="00972F03" w:rsidSect="00972F03">
          <w:headerReference w:type="default" r:id="rId22"/>
          <w:pgSz w:w="11906" w:h="16838"/>
          <w:pgMar w:top="1803" w:right="1440" w:bottom="1440" w:left="1440" w:header="709" w:footer="709" w:gutter="0"/>
          <w:cols w:space="708"/>
          <w:docGrid w:linePitch="360"/>
        </w:sectPr>
      </w:pPr>
    </w:p>
    <w:p w14:paraId="227C3CC7" w14:textId="2927437E" w:rsidR="00E238C3" w:rsidRDefault="00E238C3" w:rsidP="00E238C3">
      <w:pPr>
        <w:pStyle w:val="Heading1"/>
      </w:pPr>
      <w:bookmarkStart w:id="50" w:name="_Toc95734896"/>
      <w:bookmarkStart w:id="51" w:name="_Toc98760946"/>
      <w:r>
        <w:t xml:space="preserve">Next </w:t>
      </w:r>
      <w:r w:rsidR="003E1438">
        <w:t>s</w:t>
      </w:r>
      <w:r>
        <w:t>teps</w:t>
      </w:r>
      <w:bookmarkEnd w:id="50"/>
      <w:bookmarkEnd w:id="51"/>
      <w:r w:rsidR="0003516B">
        <w:t xml:space="preserve"> for the sector</w:t>
      </w:r>
    </w:p>
    <w:p w14:paraId="133472E4" w14:textId="77777777" w:rsidR="00E238C3" w:rsidRDefault="00E238C3" w:rsidP="00E238C3">
      <w:r w:rsidRPr="008645B0">
        <w:t xml:space="preserve">The further research components </w:t>
      </w:r>
      <w:r>
        <w:t>of</w:t>
      </w:r>
      <w:r w:rsidRPr="008645B0">
        <w:t xml:space="preserve"> the</w:t>
      </w:r>
      <w:r w:rsidRPr="008645B0">
        <w:rPr>
          <w:rFonts w:ascii="Calibri" w:hAnsi="Calibri" w:cs="Calibri"/>
        </w:rPr>
        <w:t> </w:t>
      </w:r>
      <w:r w:rsidRPr="008645B0">
        <w:rPr>
          <w:i/>
          <w:iCs/>
        </w:rPr>
        <w:t>Future-proofing Safety</w:t>
      </w:r>
      <w:r w:rsidRPr="008645B0">
        <w:rPr>
          <w:rFonts w:ascii="Calibri" w:hAnsi="Calibri" w:cs="Calibri"/>
          <w:i/>
          <w:iCs/>
        </w:rPr>
        <w:t> </w:t>
      </w:r>
      <w:r w:rsidRPr="008645B0">
        <w:t>project are designed to answer some of the questions in areas where data capture was limited, including</w:t>
      </w:r>
      <w:r>
        <w:t>:</w:t>
      </w:r>
    </w:p>
    <w:p w14:paraId="5E284B13" w14:textId="77777777" w:rsidR="00E238C3" w:rsidRPr="00CA0837" w:rsidRDefault="00E238C3" w:rsidP="00717082">
      <w:pPr>
        <w:pStyle w:val="ListParagraph"/>
        <w:numPr>
          <w:ilvl w:val="0"/>
          <w:numId w:val="55"/>
        </w:numPr>
        <w:spacing w:line="360" w:lineRule="auto"/>
        <w:ind w:right="0"/>
        <w:rPr>
          <w:rFonts w:ascii="Calibri" w:hAnsi="Calibri"/>
        </w:rPr>
      </w:pPr>
      <w:r w:rsidRPr="008645B0">
        <w:t>experiences for children</w:t>
      </w:r>
    </w:p>
    <w:p w14:paraId="4AD50539" w14:textId="77777777" w:rsidR="00E238C3" w:rsidRPr="00CA0837" w:rsidRDefault="00E238C3" w:rsidP="00717082">
      <w:pPr>
        <w:pStyle w:val="ListParagraph"/>
        <w:numPr>
          <w:ilvl w:val="0"/>
          <w:numId w:val="55"/>
        </w:numPr>
        <w:spacing w:line="360" w:lineRule="auto"/>
        <w:ind w:right="0"/>
        <w:rPr>
          <w:rFonts w:ascii="Calibri" w:hAnsi="Calibri"/>
        </w:rPr>
      </w:pPr>
      <w:r w:rsidRPr="008645B0">
        <w:t>the impact of expanded and more flexible brokerage funds</w:t>
      </w:r>
    </w:p>
    <w:p w14:paraId="69363612" w14:textId="77777777" w:rsidR="00E238C3" w:rsidRPr="00C678E6" w:rsidRDefault="00E238C3" w:rsidP="00717082">
      <w:pPr>
        <w:pStyle w:val="ListParagraph"/>
        <w:numPr>
          <w:ilvl w:val="0"/>
          <w:numId w:val="55"/>
        </w:numPr>
        <w:spacing w:line="360" w:lineRule="auto"/>
        <w:ind w:right="0"/>
        <w:rPr>
          <w:rFonts w:ascii="Calibri" w:hAnsi="Calibri"/>
        </w:rPr>
      </w:pPr>
      <w:r w:rsidRPr="008645B0">
        <w:t>further exploration about how risk and client needs changed during the COVID-19 time period.</w:t>
      </w:r>
    </w:p>
    <w:p w14:paraId="5FC52CA0" w14:textId="77777777" w:rsidR="00E238C3" w:rsidRPr="00AD1BA5" w:rsidRDefault="00E238C3" w:rsidP="00E238C3">
      <w:r w:rsidRPr="00FF66E9">
        <w:t>Peaks, organisations and practitioners will have opportunities to participate in future components of the project through focus groups, a practitioner survey and through a series of workshops</w:t>
      </w:r>
      <w:r>
        <w:t>.</w:t>
      </w:r>
    </w:p>
    <w:p w14:paraId="2A4DD908" w14:textId="07110638" w:rsidR="00E238C3" w:rsidRDefault="00E238C3" w:rsidP="00E238C3">
      <w:pPr>
        <w:pStyle w:val="Heading3"/>
      </w:pPr>
      <w:r>
        <w:t xml:space="preserve">Organisational </w:t>
      </w:r>
      <w:r w:rsidR="003E1438">
        <w:t>k</w:t>
      </w:r>
      <w:r>
        <w:t xml:space="preserve">ey </w:t>
      </w:r>
      <w:r w:rsidR="003E1438">
        <w:t>l</w:t>
      </w:r>
      <w:r>
        <w:t>earnings</w:t>
      </w:r>
    </w:p>
    <w:p w14:paraId="078BD8C2" w14:textId="77777777" w:rsidR="00E238C3" w:rsidRDefault="00E238C3" w:rsidP="00E238C3">
      <w:r>
        <w:t>Each of the three organisations identified common key learnings about how COVID-19 changed service access and needs. There were benefits to an increase in brokerage available, and both advantages and disadvantages were noted for technology use. One major area all three organisations noted was an inability to accurately and comprehensively capture children’s needs, as only parent data is recorded</w:t>
      </w:r>
      <w:r w:rsidRPr="00681394">
        <w:t xml:space="preserve"> </w:t>
      </w:r>
      <w:r>
        <w:t>in most cases.</w:t>
      </w:r>
    </w:p>
    <w:p w14:paraId="1B073D95" w14:textId="77777777" w:rsidR="00E238C3" w:rsidRPr="006F4DE5" w:rsidRDefault="00E238C3" w:rsidP="00E238C3">
      <w:r>
        <w:t xml:space="preserve">The current use and design of CRM systems does not lend itself to accurate data capture. As services shift to utilise organisational data to promote evidence-based management, there is an immediate need for improved data capture. </w:t>
      </w:r>
    </w:p>
    <w:p w14:paraId="7FD22BF5" w14:textId="54900CA6" w:rsidR="00E238C3" w:rsidRDefault="00E238C3" w:rsidP="00E238C3">
      <w:pPr>
        <w:pStyle w:val="Heading4"/>
      </w:pPr>
      <w:r>
        <w:t xml:space="preserve">Changes to </w:t>
      </w:r>
      <w:r w:rsidR="00E8613D">
        <w:t>b</w:t>
      </w:r>
      <w:r>
        <w:t>rokerage</w:t>
      </w:r>
    </w:p>
    <w:p w14:paraId="3CED4400" w14:textId="77777777" w:rsidR="00E238C3" w:rsidRPr="00963AAF" w:rsidRDefault="00E238C3" w:rsidP="00E238C3">
      <w:r>
        <w:t>All</w:t>
      </w:r>
      <w:r w:rsidRPr="00963AAF">
        <w:t xml:space="preserve"> three organisations reported that the increase in brokerage funds and ability to access brokerage quickly allowed them to respond to victim</w:t>
      </w:r>
      <w:r>
        <w:t>-survivors’</w:t>
      </w:r>
      <w:r w:rsidRPr="00963AAF">
        <w:t xml:space="preserve"> safety and security in a timely and more comprehensive manner. This </w:t>
      </w:r>
      <w:r>
        <w:t xml:space="preserve">raises </w:t>
      </w:r>
      <w:r w:rsidRPr="00963AAF">
        <w:t>the question</w:t>
      </w:r>
      <w:r>
        <w:t>:</w:t>
      </w:r>
      <w:r w:rsidRPr="00963AAF">
        <w:t xml:space="preserve"> </w:t>
      </w:r>
      <w:r>
        <w:t>should</w:t>
      </w:r>
      <w:r w:rsidRPr="00963AAF">
        <w:t xml:space="preserve"> </w:t>
      </w:r>
      <w:r>
        <w:t>services</w:t>
      </w:r>
      <w:r w:rsidRPr="00963AAF">
        <w:t xml:space="preserve"> continue to offer additional family violence brokerage with more flexibility into the future?</w:t>
      </w:r>
    </w:p>
    <w:p w14:paraId="75568059" w14:textId="5072B55F" w:rsidR="00E238C3" w:rsidRDefault="00E238C3" w:rsidP="00E238C3">
      <w:pPr>
        <w:pStyle w:val="Heading4"/>
      </w:pPr>
      <w:r>
        <w:t xml:space="preserve">Impact of </w:t>
      </w:r>
      <w:r w:rsidR="00E8613D">
        <w:t>t</w:t>
      </w:r>
      <w:r>
        <w:t>echnology</w:t>
      </w:r>
    </w:p>
    <w:p w14:paraId="1286DA0F" w14:textId="77777777" w:rsidR="00E238C3" w:rsidRDefault="00E238C3" w:rsidP="00E238C3">
      <w:r w:rsidRPr="00963AAF">
        <w:t>All organisations made significant shifts in use of online services. Technology provided increased access for some clients but also decreased access for others who were unable to safely access telehealth or online services delivery during COVID-19.</w:t>
      </w:r>
    </w:p>
    <w:p w14:paraId="5A683183" w14:textId="77777777" w:rsidR="00E238C3" w:rsidRPr="008069A2" w:rsidRDefault="00E238C3" w:rsidP="00E238C3">
      <w:r w:rsidRPr="00963AAF">
        <w:t>Telehealth also presented a range of complex challenges. For example, with less ‘</w:t>
      </w:r>
      <w:r>
        <w:t>line of sight’</w:t>
      </w:r>
      <w:r w:rsidRPr="00963AAF">
        <w:t xml:space="preserve"> to children during the pandemic, Drummond Street saw a decrease in </w:t>
      </w:r>
      <w:r>
        <w:t>C</w:t>
      </w:r>
      <w:r w:rsidRPr="00963AAF">
        <w:t xml:space="preserve">hild </w:t>
      </w:r>
      <w:r>
        <w:t>P</w:t>
      </w:r>
      <w:r w:rsidRPr="00963AAF">
        <w:t>rotection involvement and a decrease in 'at risk children' accessing support.</w:t>
      </w:r>
    </w:p>
    <w:p w14:paraId="6A40540A" w14:textId="77777777" w:rsidR="00E238C3" w:rsidRDefault="00E238C3" w:rsidP="00E238C3">
      <w:pPr>
        <w:pStyle w:val="Heading4"/>
      </w:pPr>
      <w:r>
        <w:t>Inability to capture children’s needs</w:t>
      </w:r>
    </w:p>
    <w:p w14:paraId="01653EBA" w14:textId="58984298" w:rsidR="001A5D6F" w:rsidRDefault="00E238C3" w:rsidP="00E238C3">
      <w:r w:rsidRPr="00963AAF">
        <w:t xml:space="preserve">Due to system and government database </w:t>
      </w:r>
      <w:r>
        <w:t>limitations</w:t>
      </w:r>
      <w:r w:rsidRPr="00963AAF">
        <w:t>, all three organisations were unable to report accurately on child</w:t>
      </w:r>
      <w:r>
        <w:t>ren’s</w:t>
      </w:r>
      <w:r w:rsidRPr="00963AAF">
        <w:t xml:space="preserve"> needs</w:t>
      </w:r>
      <w:r w:rsidR="001A5D6F">
        <w:t>.</w:t>
      </w:r>
      <w:r>
        <w:t xml:space="preserve"> </w:t>
      </w:r>
      <w:r w:rsidR="001A5D6F">
        <w:t>I</w:t>
      </w:r>
      <w:r w:rsidRPr="00963AAF">
        <w:t>nstead</w:t>
      </w:r>
      <w:r w:rsidR="001A5D6F">
        <w:t>, they</w:t>
      </w:r>
      <w:r>
        <w:t xml:space="preserve"> </w:t>
      </w:r>
      <w:r w:rsidRPr="00963AAF">
        <w:t>largely captur</w:t>
      </w:r>
      <w:r w:rsidR="001A5D6F">
        <w:t>ed</w:t>
      </w:r>
      <w:r w:rsidRPr="00963AAF">
        <w:t xml:space="preserve"> the needs of the parent seeking support, with children ‘attached’ to a family case. This is indicative of a </w:t>
      </w:r>
      <w:r>
        <w:t xml:space="preserve">continued need to increase the focus on </w:t>
      </w:r>
      <w:r w:rsidRPr="00963AAF">
        <w:t>children as clients in their own right</w:t>
      </w:r>
      <w:r>
        <w:t xml:space="preserve">, something which the </w:t>
      </w:r>
      <w:r w:rsidRPr="00963AAF">
        <w:t xml:space="preserve">2016 Royal Commission into Family Violence made multiple recommendations </w:t>
      </w:r>
      <w:r>
        <w:t>about</w:t>
      </w:r>
      <w:r w:rsidR="004C764B">
        <w:t>,</w:t>
      </w:r>
      <w:r>
        <w:t xml:space="preserve"> to</w:t>
      </w:r>
      <w:r w:rsidRPr="00963AAF">
        <w:t xml:space="preserve"> ensur</w:t>
      </w:r>
      <w:r>
        <w:t>e</w:t>
      </w:r>
      <w:r w:rsidRPr="00963AAF">
        <w:t xml:space="preserve"> children’s needs are considered in their own right.</w:t>
      </w:r>
    </w:p>
    <w:p w14:paraId="40E50196" w14:textId="2907B8F1" w:rsidR="00E238C3" w:rsidRPr="00963AAF" w:rsidRDefault="00E238C3" w:rsidP="00E238C3">
      <w:r>
        <w:t>P</w:t>
      </w:r>
      <w:r w:rsidRPr="00963AAF">
        <w:t>rovid</w:t>
      </w:r>
      <w:r>
        <w:t>ing</w:t>
      </w:r>
      <w:r w:rsidRPr="00963AAF">
        <w:t xml:space="preserve"> services and record</w:t>
      </w:r>
      <w:r w:rsidR="004C764B">
        <w:t>ing</w:t>
      </w:r>
      <w:r w:rsidRPr="00963AAF">
        <w:t xml:space="preserve"> family violence data and client experiences</w:t>
      </w:r>
      <w:r w:rsidR="001A5D6F">
        <w:t xml:space="preserve"> – </w:t>
      </w:r>
      <w:r w:rsidRPr="00963AAF">
        <w:t>without child</w:t>
      </w:r>
      <w:r>
        <w:t>-</w:t>
      </w:r>
      <w:r w:rsidRPr="00963AAF">
        <w:t>centred structures and systems in place</w:t>
      </w:r>
      <w:r w:rsidR="001A5D6F">
        <w:t xml:space="preserve"> – </w:t>
      </w:r>
      <w:r w:rsidRPr="00963AAF">
        <w:t>risks services continuing to prioritise adult experience</w:t>
      </w:r>
      <w:r>
        <w:t>s</w:t>
      </w:r>
      <w:r w:rsidRPr="00963AAF">
        <w:t xml:space="preserve"> of family violence at the expense of children and child</w:t>
      </w:r>
      <w:r>
        <w:t>-</w:t>
      </w:r>
      <w:r w:rsidRPr="00963AAF">
        <w:t>centred practice.</w:t>
      </w:r>
      <w:r w:rsidRPr="00316DD1">
        <w:rPr>
          <w:rFonts w:ascii="Calibri" w:hAnsi="Calibri" w:cs="Calibri"/>
        </w:rPr>
        <w:t> </w:t>
      </w:r>
    </w:p>
    <w:p w14:paraId="2C7ABE4C" w14:textId="77777777" w:rsidR="00E238C3" w:rsidRDefault="00E238C3" w:rsidP="00E238C3">
      <w:pPr>
        <w:pStyle w:val="Heading4"/>
      </w:pPr>
      <w:r>
        <w:t>Need for improved data capture</w:t>
      </w:r>
    </w:p>
    <w:p w14:paraId="419E9B6C" w14:textId="2AEFDA91" w:rsidR="00961F25" w:rsidRPr="00961F25" w:rsidRDefault="00E238C3" w:rsidP="009F3D01">
      <w:r w:rsidRPr="009F081F">
        <w:t>Across the three organisations, there were limitations within some of the reportable data fields. Improving data capture across the family violence service system will allow government to make strategic decisions to respond to family violence risk, need and complexity, particularly during future crises.</w:t>
      </w:r>
    </w:p>
    <w:sectPr w:rsidR="00961F25" w:rsidRPr="00961F25" w:rsidSect="00972F03">
      <w:headerReference w:type="default" r:id="rId23"/>
      <w:pgSz w:w="11906" w:h="16838"/>
      <w:pgMar w:top="180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1A87" w14:textId="77777777" w:rsidR="00772F04" w:rsidRDefault="00772F04" w:rsidP="002E5945">
      <w:r>
        <w:separator/>
      </w:r>
    </w:p>
    <w:p w14:paraId="6FBD88FA" w14:textId="77777777" w:rsidR="00772F04" w:rsidRDefault="00772F04" w:rsidP="002E5945"/>
    <w:p w14:paraId="553CDA27" w14:textId="77777777" w:rsidR="00772F04" w:rsidRDefault="00772F04"/>
  </w:endnote>
  <w:endnote w:type="continuationSeparator" w:id="0">
    <w:p w14:paraId="36E5F36F" w14:textId="77777777" w:rsidR="00772F04" w:rsidRDefault="00772F04" w:rsidP="002E5945">
      <w:r>
        <w:continuationSeparator/>
      </w:r>
    </w:p>
    <w:p w14:paraId="2EB8BD52" w14:textId="77777777" w:rsidR="00772F04" w:rsidRDefault="00772F04" w:rsidP="002E5945"/>
    <w:p w14:paraId="0043BE05" w14:textId="77777777" w:rsidR="00772F04" w:rsidRDefault="00772F04"/>
  </w:endnote>
  <w:endnote w:type="continuationNotice" w:id="1">
    <w:p w14:paraId="6A9F6B9B" w14:textId="77777777" w:rsidR="00772F04" w:rsidRDefault="00772F04" w:rsidP="002E5945"/>
    <w:p w14:paraId="00EFF998" w14:textId="77777777" w:rsidR="00772F04" w:rsidRDefault="00772F04" w:rsidP="002E5945"/>
    <w:p w14:paraId="1146FF5C" w14:textId="77777777" w:rsidR="00772F04" w:rsidRDefault="00772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ssistant SemiBold">
    <w:charset w:val="B1"/>
    <w:family w:val="auto"/>
    <w:pitch w:val="variable"/>
    <w:sig w:usb0="A00008FF" w:usb1="4000204B"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Archia">
    <w:panose1 w:val="02000503000000020004"/>
    <w:charset w:val="00"/>
    <w:family w:val="modern"/>
    <w:notTrueType/>
    <w:pitch w:val="variable"/>
    <w:sig w:usb0="A000002F" w:usb1="0000004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39A1" w14:textId="77777777" w:rsidR="00772F04" w:rsidRDefault="00772F04" w:rsidP="002E5945">
      <w:r>
        <w:separator/>
      </w:r>
    </w:p>
  </w:footnote>
  <w:footnote w:type="continuationSeparator" w:id="0">
    <w:p w14:paraId="0BDAEFCF" w14:textId="77777777" w:rsidR="00772F04" w:rsidRDefault="00772F04" w:rsidP="002E5945">
      <w:r>
        <w:continuationSeparator/>
      </w:r>
    </w:p>
    <w:p w14:paraId="692EA034" w14:textId="77777777" w:rsidR="00772F04" w:rsidRDefault="00772F04" w:rsidP="002E5945"/>
    <w:p w14:paraId="3CC4DA16" w14:textId="77777777" w:rsidR="00772F04" w:rsidRDefault="00772F04"/>
  </w:footnote>
  <w:footnote w:type="continuationNotice" w:id="1">
    <w:p w14:paraId="0479F58A" w14:textId="77777777" w:rsidR="00772F04" w:rsidRDefault="00772F04" w:rsidP="002E5945"/>
    <w:p w14:paraId="55CD750A" w14:textId="77777777" w:rsidR="00772F04" w:rsidRDefault="00772F04" w:rsidP="002E5945"/>
    <w:p w14:paraId="460FEC88" w14:textId="77777777" w:rsidR="00772F04" w:rsidRDefault="00772F04"/>
  </w:footnote>
  <w:footnote w:id="2">
    <w:p w14:paraId="7F1CC5AA" w14:textId="73FA5EFA" w:rsidR="001025D7" w:rsidRDefault="001025D7">
      <w:pPr>
        <w:pStyle w:val="FootnoteText"/>
      </w:pPr>
      <w:r>
        <w:rPr>
          <w:rStyle w:val="FootnoteReference"/>
        </w:rPr>
        <w:footnoteRef/>
      </w:r>
      <w:r>
        <w:t xml:space="preserve"> This includes</w:t>
      </w:r>
      <w:r w:rsidRPr="001025D7">
        <w:t xml:space="preserve"> </w:t>
      </w:r>
      <w:r w:rsidRPr="005A4752">
        <w:t>motels or hotels, removalists, bond loans, rent to establish or maintain a tenancy, and household items</w:t>
      </w:r>
      <w:r>
        <w:t>.</w:t>
      </w:r>
    </w:p>
  </w:footnote>
  <w:footnote w:id="3">
    <w:p w14:paraId="68EB5171" w14:textId="0963A2A4" w:rsidR="001025D7" w:rsidRDefault="001025D7">
      <w:pPr>
        <w:pStyle w:val="FootnoteText"/>
      </w:pPr>
      <w:r>
        <w:rPr>
          <w:rStyle w:val="FootnoteReference"/>
        </w:rPr>
        <w:footnoteRef/>
      </w:r>
      <w:r>
        <w:t xml:space="preserve"> This includes </w:t>
      </w:r>
      <w:r w:rsidRPr="00F62B3A">
        <w:t xml:space="preserve">childcare, medical or pharmaceutical needs, health and wellbeing supports, travel or commuting, </w:t>
      </w:r>
      <w:r>
        <w:t xml:space="preserve">and </w:t>
      </w:r>
      <w:r w:rsidRPr="00F62B3A">
        <w:t>legal services</w:t>
      </w:r>
      <w:r>
        <w:t>.</w:t>
      </w:r>
    </w:p>
  </w:footnote>
  <w:footnote w:id="4">
    <w:p w14:paraId="407BE05F" w14:textId="77777777" w:rsidR="004A6B2A" w:rsidRDefault="004A6B2A" w:rsidP="004A6B2A">
      <w:pPr>
        <w:pStyle w:val="FootnoteText"/>
      </w:pPr>
      <w:r>
        <w:rPr>
          <w:rStyle w:val="FootnoteReference"/>
        </w:rPr>
        <w:footnoteRef/>
      </w:r>
      <w:r>
        <w:t xml:space="preserve"> </w:t>
      </w:r>
      <w:r w:rsidRPr="00DB4B34">
        <w:t>This section compares case management data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E737" w14:textId="5D0E86E9" w:rsidR="00961F25" w:rsidRDefault="00961F25" w:rsidP="00961F25">
    <w:pPr>
      <w:pStyle w:val="Footer"/>
    </w:pPr>
    <w:r>
      <w:rPr>
        <w:b/>
        <w:bCs/>
      </w:rPr>
      <w:fldChar w:fldCharType="begin"/>
    </w:r>
    <w:r>
      <w:rPr>
        <w:b/>
        <w:bCs/>
      </w:rPr>
      <w:instrText xml:space="preserve"> STYLEREF  Title  \* MERGEFORMAT </w:instrText>
    </w:r>
    <w:r>
      <w:rPr>
        <w:b/>
        <w:bCs/>
      </w:rPr>
      <w:fldChar w:fldCharType="separate"/>
    </w:r>
    <w:r w:rsidR="00225158">
      <w:rPr>
        <w:b/>
        <w:bCs/>
        <w:noProof/>
      </w:rPr>
      <w:t>Future-proofing Safety</w:t>
    </w:r>
    <w:r>
      <w:rPr>
        <w:b/>
        <w:bCs/>
      </w:rPr>
      <w:fldChar w:fldCharType="end"/>
    </w:r>
    <w:r>
      <w:br/>
    </w:r>
    <w:r w:rsidR="00225158">
      <w:fldChar w:fldCharType="begin"/>
    </w:r>
    <w:r w:rsidR="00225158">
      <w:instrText xml:space="preserve"> STYLEREF  Subtitle  \* MERGEFORMAT </w:instrText>
    </w:r>
    <w:r w:rsidR="00225158">
      <w:fldChar w:fldCharType="separate"/>
    </w:r>
    <w:r w:rsidR="00225158">
      <w:rPr>
        <w:noProof/>
      </w:rPr>
      <w:t>Organisational case studies</w:t>
    </w:r>
    <w:r w:rsidR="00225158">
      <w:rPr>
        <w:noProof/>
      </w:rPr>
      <w:fldChar w:fldCharType="end"/>
    </w:r>
    <w:r>
      <w:tab/>
    </w:r>
    <w:r>
      <w:tab/>
      <w:t xml:space="preserve">Page </w:t>
    </w:r>
    <w:sdt>
      <w:sdtPr>
        <w:rPr>
          <w:rFonts w:asciiTheme="majorHAnsi" w:hAnsiTheme="majorHAnsi"/>
          <w:noProof/>
        </w:rPr>
        <w:id w:val="-1890953300"/>
        <w:docPartObj>
          <w:docPartGallery w:val="Page Numbers (Bottom of Page)"/>
          <w:docPartUnique/>
        </w:docPartObj>
      </w:sdtPr>
      <w:sdtEndPr/>
      <w:sdtContent>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19</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DD95" w14:textId="753812ED" w:rsidR="00972F03" w:rsidRPr="00972F03" w:rsidRDefault="00972F03" w:rsidP="00972F03">
    <w:pPr>
      <w:pStyle w:val="Footer"/>
    </w:pPr>
    <w:r>
      <w:rPr>
        <w:b/>
        <w:bCs/>
      </w:rPr>
      <w:fldChar w:fldCharType="begin"/>
    </w:r>
    <w:r>
      <w:rPr>
        <w:b/>
        <w:bCs/>
      </w:rPr>
      <w:instrText xml:space="preserve"> STYLEREF  Title  \* MERGEFORMAT </w:instrText>
    </w:r>
    <w:r>
      <w:rPr>
        <w:b/>
        <w:bCs/>
      </w:rPr>
      <w:fldChar w:fldCharType="separate"/>
    </w:r>
    <w:r w:rsidR="00225158">
      <w:rPr>
        <w:b/>
        <w:bCs/>
        <w:noProof/>
      </w:rPr>
      <w:t>Future-proofing Safety</w:t>
    </w:r>
    <w:r>
      <w:rPr>
        <w:b/>
        <w:bCs/>
      </w:rPr>
      <w:fldChar w:fldCharType="end"/>
    </w:r>
    <w:r>
      <w:br/>
    </w:r>
    <w:r w:rsidR="007C0ED7">
      <w:t xml:space="preserve">Case study: </w:t>
    </w:r>
    <w:r w:rsidR="0060335B">
      <w:t>Drummond Street Services</w:t>
    </w:r>
    <w:r w:rsidR="007C0ED7">
      <w:tab/>
    </w:r>
    <w:r>
      <w:tab/>
      <w:t xml:space="preserve">Page </w:t>
    </w:r>
    <w:sdt>
      <w:sdtPr>
        <w:rPr>
          <w:rFonts w:asciiTheme="majorHAnsi" w:hAnsiTheme="majorHAnsi"/>
          <w:noProof/>
        </w:rPr>
        <w:id w:val="-333000010"/>
        <w:docPartObj>
          <w:docPartGallery w:val="Page Numbers (Bottom of Page)"/>
          <w:docPartUnique/>
        </w:docPartObj>
      </w:sdtPr>
      <w:sdtEndPr/>
      <w:sdtContent>
        <w:r>
          <w:fldChar w:fldCharType="begin"/>
        </w:r>
        <w:r>
          <w:instrText xml:space="preserve"> PAGE   \* MERGEFORMAT </w:instrText>
        </w:r>
        <w:r>
          <w:fldChar w:fldCharType="separate"/>
        </w:r>
        <w:r>
          <w:t>8</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91</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AAD5" w14:textId="08AE3CB5" w:rsidR="0060335B" w:rsidRPr="00972F03" w:rsidRDefault="0060335B" w:rsidP="00972F03">
    <w:pPr>
      <w:pStyle w:val="Footer"/>
    </w:pPr>
    <w:r>
      <w:rPr>
        <w:b/>
        <w:bCs/>
      </w:rPr>
      <w:fldChar w:fldCharType="begin"/>
    </w:r>
    <w:r>
      <w:rPr>
        <w:b/>
        <w:bCs/>
      </w:rPr>
      <w:instrText xml:space="preserve"> STYLEREF  Title  \* MERGEFORMAT </w:instrText>
    </w:r>
    <w:r>
      <w:rPr>
        <w:b/>
        <w:bCs/>
      </w:rPr>
      <w:fldChar w:fldCharType="separate"/>
    </w:r>
    <w:r w:rsidR="004C764B">
      <w:rPr>
        <w:b/>
        <w:bCs/>
        <w:noProof/>
      </w:rPr>
      <w:t>Future-proofing Safety</w:t>
    </w:r>
    <w:r>
      <w:rPr>
        <w:b/>
        <w:bCs/>
      </w:rPr>
      <w:fldChar w:fldCharType="end"/>
    </w:r>
    <w:r>
      <w:br/>
      <w:t>Case study: GenWest</w:t>
    </w:r>
    <w:r>
      <w:tab/>
    </w:r>
    <w:r>
      <w:tab/>
      <w:t xml:space="preserve">Page </w:t>
    </w:r>
    <w:sdt>
      <w:sdtPr>
        <w:rPr>
          <w:rFonts w:asciiTheme="majorHAnsi" w:hAnsiTheme="majorHAnsi"/>
          <w:noProof/>
        </w:rPr>
        <w:id w:val="1558980394"/>
        <w:docPartObj>
          <w:docPartGallery w:val="Page Numbers (Bottom of Page)"/>
          <w:docPartUnique/>
        </w:docPartObj>
      </w:sdtPr>
      <w:sdtEndPr/>
      <w:sdtContent>
        <w:r>
          <w:fldChar w:fldCharType="begin"/>
        </w:r>
        <w:r>
          <w:instrText xml:space="preserve"> PAGE   \* MERGEFORMAT </w:instrText>
        </w:r>
        <w:r>
          <w:fldChar w:fldCharType="separate"/>
        </w:r>
        <w:r>
          <w:t>8</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91</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C950" w14:textId="40421C5E" w:rsidR="007C0ED7" w:rsidRPr="00972F03" w:rsidRDefault="007C0ED7" w:rsidP="00972F03">
    <w:pPr>
      <w:pStyle w:val="Footer"/>
    </w:pPr>
    <w:r>
      <w:rPr>
        <w:b/>
        <w:bCs/>
      </w:rPr>
      <w:fldChar w:fldCharType="begin"/>
    </w:r>
    <w:r>
      <w:rPr>
        <w:b/>
        <w:bCs/>
      </w:rPr>
      <w:instrText xml:space="preserve"> STYLEREF  Title  \* MERGEFORMAT </w:instrText>
    </w:r>
    <w:r>
      <w:rPr>
        <w:b/>
        <w:bCs/>
      </w:rPr>
      <w:fldChar w:fldCharType="separate"/>
    </w:r>
    <w:r w:rsidR="0003516B">
      <w:rPr>
        <w:b/>
        <w:bCs/>
        <w:noProof/>
      </w:rPr>
      <w:t>Future-proofing Safety</w:t>
    </w:r>
    <w:r>
      <w:rPr>
        <w:b/>
        <w:bCs/>
      </w:rPr>
      <w:fldChar w:fldCharType="end"/>
    </w:r>
    <w:r>
      <w:br/>
      <w:t>Case study: Good Shepherd Australia New Zealand</w:t>
    </w:r>
    <w:r>
      <w:tab/>
      <w:t xml:space="preserve">Page </w:t>
    </w:r>
    <w:sdt>
      <w:sdtPr>
        <w:rPr>
          <w:rFonts w:asciiTheme="majorHAnsi" w:hAnsiTheme="majorHAnsi"/>
          <w:noProof/>
        </w:rPr>
        <w:id w:val="-555166708"/>
        <w:docPartObj>
          <w:docPartGallery w:val="Page Numbers (Bottom of Page)"/>
          <w:docPartUnique/>
        </w:docPartObj>
      </w:sdtPr>
      <w:sdtEndPr/>
      <w:sdtContent>
        <w:r>
          <w:fldChar w:fldCharType="begin"/>
        </w:r>
        <w:r>
          <w:instrText xml:space="preserve"> PAGE   \* MERGEFORMAT </w:instrText>
        </w:r>
        <w:r>
          <w:fldChar w:fldCharType="separate"/>
        </w:r>
        <w:r>
          <w:t>8</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91</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1674" w14:textId="4C4B1387" w:rsidR="007C0ED7" w:rsidRPr="00972F03" w:rsidRDefault="007C0ED7" w:rsidP="00972F03">
    <w:pPr>
      <w:pStyle w:val="Footer"/>
    </w:pPr>
    <w:r>
      <w:rPr>
        <w:b/>
        <w:bCs/>
      </w:rPr>
      <w:fldChar w:fldCharType="begin"/>
    </w:r>
    <w:r>
      <w:rPr>
        <w:b/>
        <w:bCs/>
      </w:rPr>
      <w:instrText xml:space="preserve"> STYLEREF  Title  \* MERGEFORMAT </w:instrText>
    </w:r>
    <w:r>
      <w:rPr>
        <w:b/>
        <w:bCs/>
      </w:rPr>
      <w:fldChar w:fldCharType="separate"/>
    </w:r>
    <w:r w:rsidR="0003516B">
      <w:rPr>
        <w:b/>
        <w:bCs/>
        <w:noProof/>
      </w:rPr>
      <w:t>Future-proofing Safety</w:t>
    </w:r>
    <w:r>
      <w:rPr>
        <w:b/>
        <w:bCs/>
      </w:rPr>
      <w:fldChar w:fldCharType="end"/>
    </w:r>
    <w:r>
      <w:br/>
    </w:r>
    <w:fldSimple w:instr=" STYLEREF  Subtitle  \* MERGEFORMAT ">
      <w:r w:rsidR="0003516B">
        <w:rPr>
          <w:noProof/>
        </w:rPr>
        <w:t>Organisational case studies</w:t>
      </w:r>
    </w:fldSimple>
    <w:r>
      <w:tab/>
    </w:r>
    <w:r>
      <w:tab/>
      <w:t xml:space="preserve">Page </w:t>
    </w:r>
    <w:sdt>
      <w:sdtPr>
        <w:rPr>
          <w:rFonts w:asciiTheme="majorHAnsi" w:hAnsiTheme="majorHAnsi"/>
          <w:noProof/>
        </w:rPr>
        <w:id w:val="-1344318707"/>
        <w:docPartObj>
          <w:docPartGallery w:val="Page Numbers (Bottom of Page)"/>
          <w:docPartUnique/>
        </w:docPartObj>
      </w:sdtPr>
      <w:sdtEndPr/>
      <w:sdtContent>
        <w:r>
          <w:fldChar w:fldCharType="begin"/>
        </w:r>
        <w:r>
          <w:instrText xml:space="preserve"> PAGE   \* MERGEFORMAT </w:instrText>
        </w:r>
        <w:r>
          <w:fldChar w:fldCharType="separate"/>
        </w:r>
        <w:r>
          <w:t>8</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91</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1F1"/>
    <w:multiLevelType w:val="hybridMultilevel"/>
    <w:tmpl w:val="6310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75943"/>
    <w:multiLevelType w:val="hybridMultilevel"/>
    <w:tmpl w:val="69E29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D4B6C"/>
    <w:multiLevelType w:val="hybridMultilevel"/>
    <w:tmpl w:val="4DE47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E30557"/>
    <w:multiLevelType w:val="hybridMultilevel"/>
    <w:tmpl w:val="0CB03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121E6"/>
    <w:multiLevelType w:val="hybridMultilevel"/>
    <w:tmpl w:val="6AEE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9D4885"/>
    <w:multiLevelType w:val="hybridMultilevel"/>
    <w:tmpl w:val="93E672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1B1E21"/>
    <w:multiLevelType w:val="hybridMultilevel"/>
    <w:tmpl w:val="3C001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9E2F89"/>
    <w:multiLevelType w:val="hybridMultilevel"/>
    <w:tmpl w:val="9D3E0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8B2C37"/>
    <w:multiLevelType w:val="hybridMultilevel"/>
    <w:tmpl w:val="D0AA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952DFB"/>
    <w:multiLevelType w:val="hybridMultilevel"/>
    <w:tmpl w:val="73806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A22127"/>
    <w:multiLevelType w:val="hybridMultilevel"/>
    <w:tmpl w:val="FAB0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2003AC"/>
    <w:multiLevelType w:val="hybridMultilevel"/>
    <w:tmpl w:val="2E42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5006C6"/>
    <w:multiLevelType w:val="hybridMultilevel"/>
    <w:tmpl w:val="12D4B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4459DE"/>
    <w:multiLevelType w:val="hybridMultilevel"/>
    <w:tmpl w:val="AF90D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A444A3"/>
    <w:multiLevelType w:val="hybridMultilevel"/>
    <w:tmpl w:val="A4AA9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CA6CD4"/>
    <w:multiLevelType w:val="hybridMultilevel"/>
    <w:tmpl w:val="43C2C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3A1A17"/>
    <w:multiLevelType w:val="hybridMultilevel"/>
    <w:tmpl w:val="49FE0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B952C3"/>
    <w:multiLevelType w:val="hybridMultilevel"/>
    <w:tmpl w:val="8F4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BB1EBF"/>
    <w:multiLevelType w:val="hybridMultilevel"/>
    <w:tmpl w:val="6A5CD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1790450"/>
    <w:multiLevelType w:val="hybridMultilevel"/>
    <w:tmpl w:val="653AB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5F504D"/>
    <w:multiLevelType w:val="hybridMultilevel"/>
    <w:tmpl w:val="B8B8D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3BD7DAA"/>
    <w:multiLevelType w:val="hybridMultilevel"/>
    <w:tmpl w:val="8DFA2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6F33C7"/>
    <w:multiLevelType w:val="hybridMultilevel"/>
    <w:tmpl w:val="26A0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8D26111"/>
    <w:multiLevelType w:val="hybridMultilevel"/>
    <w:tmpl w:val="31DAD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A632B3"/>
    <w:multiLevelType w:val="hybridMultilevel"/>
    <w:tmpl w:val="8F36A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00484E"/>
    <w:multiLevelType w:val="hybridMultilevel"/>
    <w:tmpl w:val="1F102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D354027"/>
    <w:multiLevelType w:val="hybridMultilevel"/>
    <w:tmpl w:val="9EACB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FB777E8"/>
    <w:multiLevelType w:val="hybridMultilevel"/>
    <w:tmpl w:val="81C03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17D6884"/>
    <w:multiLevelType w:val="hybridMultilevel"/>
    <w:tmpl w:val="997A7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2635BAE"/>
    <w:multiLevelType w:val="hybridMultilevel"/>
    <w:tmpl w:val="EECE1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2FB3C7E"/>
    <w:multiLevelType w:val="hybridMultilevel"/>
    <w:tmpl w:val="BDE2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7D0C2E"/>
    <w:multiLevelType w:val="hybridMultilevel"/>
    <w:tmpl w:val="E556A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A0534CC"/>
    <w:multiLevelType w:val="hybridMultilevel"/>
    <w:tmpl w:val="4272A1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ACA3C47"/>
    <w:multiLevelType w:val="hybridMultilevel"/>
    <w:tmpl w:val="6600A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C5905FE"/>
    <w:multiLevelType w:val="hybridMultilevel"/>
    <w:tmpl w:val="1BD2B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DAF452C"/>
    <w:multiLevelType w:val="hybridMultilevel"/>
    <w:tmpl w:val="BB58D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E076E0D"/>
    <w:multiLevelType w:val="hybridMultilevel"/>
    <w:tmpl w:val="6960D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F4B16F8"/>
    <w:multiLevelType w:val="hybridMultilevel"/>
    <w:tmpl w:val="97D0A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0D76527"/>
    <w:multiLevelType w:val="hybridMultilevel"/>
    <w:tmpl w:val="BB40F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1984A06"/>
    <w:multiLevelType w:val="hybridMultilevel"/>
    <w:tmpl w:val="36F6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1B659F5"/>
    <w:multiLevelType w:val="hybridMultilevel"/>
    <w:tmpl w:val="8928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34509B1"/>
    <w:multiLevelType w:val="hybridMultilevel"/>
    <w:tmpl w:val="0F627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3516559"/>
    <w:multiLevelType w:val="hybridMultilevel"/>
    <w:tmpl w:val="977AA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4C474A5"/>
    <w:multiLevelType w:val="hybridMultilevel"/>
    <w:tmpl w:val="675E1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4EE5F73"/>
    <w:multiLevelType w:val="hybridMultilevel"/>
    <w:tmpl w:val="2E1C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A8D66B0"/>
    <w:multiLevelType w:val="hybridMultilevel"/>
    <w:tmpl w:val="63F2D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BC072B9"/>
    <w:multiLevelType w:val="hybridMultilevel"/>
    <w:tmpl w:val="DDD27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CB7027A"/>
    <w:multiLevelType w:val="hybridMultilevel"/>
    <w:tmpl w:val="4036B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CC109B9"/>
    <w:multiLevelType w:val="hybridMultilevel"/>
    <w:tmpl w:val="6D466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D08242B"/>
    <w:multiLevelType w:val="hybridMultilevel"/>
    <w:tmpl w:val="8FA07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D5353C2"/>
    <w:multiLevelType w:val="hybridMultilevel"/>
    <w:tmpl w:val="E4A05E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3DB87E16"/>
    <w:multiLevelType w:val="hybridMultilevel"/>
    <w:tmpl w:val="DEEA7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75E1403"/>
    <w:multiLevelType w:val="hybridMultilevel"/>
    <w:tmpl w:val="EA84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8454453"/>
    <w:multiLevelType w:val="hybridMultilevel"/>
    <w:tmpl w:val="D1E4A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8F529CD"/>
    <w:multiLevelType w:val="hybridMultilevel"/>
    <w:tmpl w:val="CC849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8F6467F"/>
    <w:multiLevelType w:val="hybridMultilevel"/>
    <w:tmpl w:val="5DDE8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9550DE3"/>
    <w:multiLevelType w:val="hybridMultilevel"/>
    <w:tmpl w:val="D2B86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96906EB"/>
    <w:multiLevelType w:val="hybridMultilevel"/>
    <w:tmpl w:val="38C6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A2E0BA7"/>
    <w:multiLevelType w:val="hybridMultilevel"/>
    <w:tmpl w:val="4FC6B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B776750"/>
    <w:multiLevelType w:val="hybridMultilevel"/>
    <w:tmpl w:val="48C40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C3B4310"/>
    <w:multiLevelType w:val="hybridMultilevel"/>
    <w:tmpl w:val="F30A7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C692599"/>
    <w:multiLevelType w:val="hybridMultilevel"/>
    <w:tmpl w:val="195C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C8B3A16"/>
    <w:multiLevelType w:val="hybridMultilevel"/>
    <w:tmpl w:val="25E41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E10748C"/>
    <w:multiLevelType w:val="hybridMultilevel"/>
    <w:tmpl w:val="C7243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EE2678B"/>
    <w:multiLevelType w:val="hybridMultilevel"/>
    <w:tmpl w:val="01B24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FD97A68"/>
    <w:multiLevelType w:val="hybridMultilevel"/>
    <w:tmpl w:val="82E88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24027D8"/>
    <w:multiLevelType w:val="hybridMultilevel"/>
    <w:tmpl w:val="7DDE0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3384636"/>
    <w:multiLevelType w:val="hybridMultilevel"/>
    <w:tmpl w:val="821C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35956DF"/>
    <w:multiLevelType w:val="hybridMultilevel"/>
    <w:tmpl w:val="D7964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41B5717"/>
    <w:multiLevelType w:val="hybridMultilevel"/>
    <w:tmpl w:val="B666E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4CC6165"/>
    <w:multiLevelType w:val="hybridMultilevel"/>
    <w:tmpl w:val="5EB4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549102A"/>
    <w:multiLevelType w:val="hybridMultilevel"/>
    <w:tmpl w:val="8D68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5F028BC"/>
    <w:multiLevelType w:val="hybridMultilevel"/>
    <w:tmpl w:val="B900E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60706D6"/>
    <w:multiLevelType w:val="hybridMultilevel"/>
    <w:tmpl w:val="00FC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9E72CC4"/>
    <w:multiLevelType w:val="hybridMultilevel"/>
    <w:tmpl w:val="37066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BC9697A"/>
    <w:multiLevelType w:val="hybridMultilevel"/>
    <w:tmpl w:val="807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BEF2E2F"/>
    <w:multiLevelType w:val="hybridMultilevel"/>
    <w:tmpl w:val="02500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CAF6459"/>
    <w:multiLevelType w:val="hybridMultilevel"/>
    <w:tmpl w:val="55E007C0"/>
    <w:lvl w:ilvl="0" w:tplc="48A0AAD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5D3D37FE"/>
    <w:multiLevelType w:val="hybridMultilevel"/>
    <w:tmpl w:val="798A1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DF24929"/>
    <w:multiLevelType w:val="hybridMultilevel"/>
    <w:tmpl w:val="E8CEB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E4C6685"/>
    <w:multiLevelType w:val="hybridMultilevel"/>
    <w:tmpl w:val="9538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0847A1D"/>
    <w:multiLevelType w:val="hybridMultilevel"/>
    <w:tmpl w:val="041A9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1AE244C"/>
    <w:multiLevelType w:val="hybridMultilevel"/>
    <w:tmpl w:val="69C8B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3C36EB3"/>
    <w:multiLevelType w:val="hybridMultilevel"/>
    <w:tmpl w:val="297614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437631B"/>
    <w:multiLevelType w:val="hybridMultilevel"/>
    <w:tmpl w:val="B1242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58D2A64"/>
    <w:multiLevelType w:val="hybridMultilevel"/>
    <w:tmpl w:val="D71E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5DC6690"/>
    <w:multiLevelType w:val="hybridMultilevel"/>
    <w:tmpl w:val="CBC62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69D68F9"/>
    <w:multiLevelType w:val="hybridMultilevel"/>
    <w:tmpl w:val="E638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8332B0C"/>
    <w:multiLevelType w:val="hybridMultilevel"/>
    <w:tmpl w:val="3F262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AB913CB"/>
    <w:multiLevelType w:val="hybridMultilevel"/>
    <w:tmpl w:val="21F40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B10010E"/>
    <w:multiLevelType w:val="hybridMultilevel"/>
    <w:tmpl w:val="6DF0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B794A32"/>
    <w:multiLevelType w:val="hybridMultilevel"/>
    <w:tmpl w:val="63BA3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D7204C7"/>
    <w:multiLevelType w:val="hybridMultilevel"/>
    <w:tmpl w:val="05FC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D977C69"/>
    <w:multiLevelType w:val="hybridMultilevel"/>
    <w:tmpl w:val="16F2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02F0955"/>
    <w:multiLevelType w:val="hybridMultilevel"/>
    <w:tmpl w:val="63E84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2370B2B"/>
    <w:multiLevelType w:val="hybridMultilevel"/>
    <w:tmpl w:val="58F62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3F01817"/>
    <w:multiLevelType w:val="hybridMultilevel"/>
    <w:tmpl w:val="B826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43F7449"/>
    <w:multiLevelType w:val="hybridMultilevel"/>
    <w:tmpl w:val="D3261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4EE297F"/>
    <w:multiLevelType w:val="hybridMultilevel"/>
    <w:tmpl w:val="34980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641702E"/>
    <w:multiLevelType w:val="hybridMultilevel"/>
    <w:tmpl w:val="B91A8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6532381"/>
    <w:multiLevelType w:val="hybridMultilevel"/>
    <w:tmpl w:val="9378F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83C67A5"/>
    <w:multiLevelType w:val="hybridMultilevel"/>
    <w:tmpl w:val="0A56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9D00426"/>
    <w:multiLevelType w:val="hybridMultilevel"/>
    <w:tmpl w:val="CF78A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AB130DE"/>
    <w:multiLevelType w:val="hybridMultilevel"/>
    <w:tmpl w:val="F5D0B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C8A20A9"/>
    <w:multiLevelType w:val="hybridMultilevel"/>
    <w:tmpl w:val="7B9A4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C9E03FC"/>
    <w:multiLevelType w:val="hybridMultilevel"/>
    <w:tmpl w:val="1E982238"/>
    <w:lvl w:ilvl="0" w:tplc="FFFFFFFF">
      <w:start w:val="1"/>
      <w:numFmt w:val="bullet"/>
      <w:lvlText w:val=""/>
      <w:lvlJc w:val="left"/>
      <w:pPr>
        <w:ind w:left="720" w:hanging="360"/>
      </w:pPr>
      <w:rPr>
        <w:rFonts w:ascii="SimSun" w:hAnsi="SimSun"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imSun" w:hAnsi="SimSun"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Symbol" w:hAnsi="Symbol" w:hint="default"/>
      </w:rPr>
    </w:lvl>
    <w:lvl w:ilvl="6" w:tplc="FFFFFFFF" w:tentative="1">
      <w:start w:val="1"/>
      <w:numFmt w:val="bullet"/>
      <w:lvlText w:val=""/>
      <w:lvlJc w:val="left"/>
      <w:pPr>
        <w:ind w:left="5040" w:hanging="360"/>
      </w:pPr>
      <w:rPr>
        <w:rFonts w:ascii="SimSun" w:hAnsi="SimSun"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Symbol" w:hAnsi="Symbol" w:hint="default"/>
      </w:rPr>
    </w:lvl>
  </w:abstractNum>
  <w:abstractNum w:abstractNumId="106" w15:restartNumberingAfterBreak="0">
    <w:nsid w:val="7D626C51"/>
    <w:multiLevelType w:val="hybridMultilevel"/>
    <w:tmpl w:val="5276D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D9214CE"/>
    <w:multiLevelType w:val="hybridMultilevel"/>
    <w:tmpl w:val="D0F4B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D9B7891"/>
    <w:multiLevelType w:val="hybridMultilevel"/>
    <w:tmpl w:val="24624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EA00873"/>
    <w:multiLevelType w:val="hybridMultilevel"/>
    <w:tmpl w:val="BC9C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7"/>
  </w:num>
  <w:num w:numId="2">
    <w:abstractNumId w:val="95"/>
  </w:num>
  <w:num w:numId="3">
    <w:abstractNumId w:val="20"/>
  </w:num>
  <w:num w:numId="4">
    <w:abstractNumId w:val="34"/>
  </w:num>
  <w:num w:numId="5">
    <w:abstractNumId w:val="27"/>
  </w:num>
  <w:num w:numId="6">
    <w:abstractNumId w:val="56"/>
  </w:num>
  <w:num w:numId="7">
    <w:abstractNumId w:val="45"/>
  </w:num>
  <w:num w:numId="8">
    <w:abstractNumId w:val="57"/>
  </w:num>
  <w:num w:numId="9">
    <w:abstractNumId w:val="53"/>
  </w:num>
  <w:num w:numId="10">
    <w:abstractNumId w:val="36"/>
  </w:num>
  <w:num w:numId="11">
    <w:abstractNumId w:val="39"/>
  </w:num>
  <w:num w:numId="12">
    <w:abstractNumId w:val="40"/>
  </w:num>
  <w:num w:numId="13">
    <w:abstractNumId w:val="67"/>
  </w:num>
  <w:num w:numId="14">
    <w:abstractNumId w:val="4"/>
  </w:num>
  <w:num w:numId="15">
    <w:abstractNumId w:val="33"/>
  </w:num>
  <w:num w:numId="16">
    <w:abstractNumId w:val="43"/>
  </w:num>
  <w:num w:numId="17">
    <w:abstractNumId w:val="30"/>
  </w:num>
  <w:num w:numId="18">
    <w:abstractNumId w:val="14"/>
  </w:num>
  <w:num w:numId="19">
    <w:abstractNumId w:val="22"/>
  </w:num>
  <w:num w:numId="20">
    <w:abstractNumId w:val="60"/>
  </w:num>
  <w:num w:numId="21">
    <w:abstractNumId w:val="0"/>
  </w:num>
  <w:num w:numId="22">
    <w:abstractNumId w:val="108"/>
  </w:num>
  <w:num w:numId="23">
    <w:abstractNumId w:val="91"/>
  </w:num>
  <w:num w:numId="24">
    <w:abstractNumId w:val="94"/>
  </w:num>
  <w:num w:numId="25">
    <w:abstractNumId w:val="89"/>
  </w:num>
  <w:num w:numId="26">
    <w:abstractNumId w:val="104"/>
  </w:num>
  <w:num w:numId="27">
    <w:abstractNumId w:val="69"/>
  </w:num>
  <w:num w:numId="28">
    <w:abstractNumId w:val="54"/>
  </w:num>
  <w:num w:numId="29">
    <w:abstractNumId w:val="23"/>
  </w:num>
  <w:num w:numId="30">
    <w:abstractNumId w:val="59"/>
  </w:num>
  <w:num w:numId="31">
    <w:abstractNumId w:val="12"/>
  </w:num>
  <w:num w:numId="32">
    <w:abstractNumId w:val="2"/>
  </w:num>
  <w:num w:numId="33">
    <w:abstractNumId w:val="97"/>
  </w:num>
  <w:num w:numId="34">
    <w:abstractNumId w:val="46"/>
  </w:num>
  <w:num w:numId="35">
    <w:abstractNumId w:val="78"/>
  </w:num>
  <w:num w:numId="36">
    <w:abstractNumId w:val="106"/>
  </w:num>
  <w:num w:numId="37">
    <w:abstractNumId w:val="28"/>
  </w:num>
  <w:num w:numId="38">
    <w:abstractNumId w:val="44"/>
  </w:num>
  <w:num w:numId="39">
    <w:abstractNumId w:val="68"/>
  </w:num>
  <w:num w:numId="40">
    <w:abstractNumId w:val="96"/>
  </w:num>
  <w:num w:numId="41">
    <w:abstractNumId w:val="81"/>
  </w:num>
  <w:num w:numId="42">
    <w:abstractNumId w:val="1"/>
  </w:num>
  <w:num w:numId="43">
    <w:abstractNumId w:val="79"/>
  </w:num>
  <w:num w:numId="44">
    <w:abstractNumId w:val="71"/>
  </w:num>
  <w:num w:numId="45">
    <w:abstractNumId w:val="92"/>
  </w:num>
  <w:num w:numId="46">
    <w:abstractNumId w:val="58"/>
  </w:num>
  <w:num w:numId="47">
    <w:abstractNumId w:val="8"/>
  </w:num>
  <w:num w:numId="48">
    <w:abstractNumId w:val="80"/>
  </w:num>
  <w:num w:numId="49">
    <w:abstractNumId w:val="103"/>
  </w:num>
  <w:num w:numId="50">
    <w:abstractNumId w:val="11"/>
  </w:num>
  <w:num w:numId="51">
    <w:abstractNumId w:val="88"/>
  </w:num>
  <w:num w:numId="52">
    <w:abstractNumId w:val="24"/>
  </w:num>
  <w:num w:numId="53">
    <w:abstractNumId w:val="105"/>
  </w:num>
  <w:num w:numId="54">
    <w:abstractNumId w:val="50"/>
  </w:num>
  <w:num w:numId="55">
    <w:abstractNumId w:val="64"/>
  </w:num>
  <w:num w:numId="56">
    <w:abstractNumId w:val="19"/>
  </w:num>
  <w:num w:numId="57">
    <w:abstractNumId w:val="61"/>
  </w:num>
  <w:num w:numId="58">
    <w:abstractNumId w:val="75"/>
  </w:num>
  <w:num w:numId="59">
    <w:abstractNumId w:val="98"/>
  </w:num>
  <w:num w:numId="60">
    <w:abstractNumId w:val="87"/>
  </w:num>
  <w:num w:numId="61">
    <w:abstractNumId w:val="90"/>
  </w:num>
  <w:num w:numId="62">
    <w:abstractNumId w:val="52"/>
  </w:num>
  <w:num w:numId="63">
    <w:abstractNumId w:val="6"/>
  </w:num>
  <w:num w:numId="64">
    <w:abstractNumId w:val="63"/>
  </w:num>
  <w:num w:numId="65">
    <w:abstractNumId w:val="70"/>
  </w:num>
  <w:num w:numId="66">
    <w:abstractNumId w:val="76"/>
  </w:num>
  <w:num w:numId="67">
    <w:abstractNumId w:val="9"/>
  </w:num>
  <w:num w:numId="68">
    <w:abstractNumId w:val="72"/>
  </w:num>
  <w:num w:numId="69">
    <w:abstractNumId w:val="17"/>
  </w:num>
  <w:num w:numId="70">
    <w:abstractNumId w:val="49"/>
  </w:num>
  <w:num w:numId="71">
    <w:abstractNumId w:val="42"/>
  </w:num>
  <w:num w:numId="72">
    <w:abstractNumId w:val="107"/>
  </w:num>
  <w:num w:numId="73">
    <w:abstractNumId w:val="47"/>
  </w:num>
  <w:num w:numId="74">
    <w:abstractNumId w:val="26"/>
  </w:num>
  <w:num w:numId="75">
    <w:abstractNumId w:val="3"/>
  </w:num>
  <w:num w:numId="76">
    <w:abstractNumId w:val="85"/>
  </w:num>
  <w:num w:numId="77">
    <w:abstractNumId w:val="101"/>
  </w:num>
  <w:num w:numId="78">
    <w:abstractNumId w:val="48"/>
  </w:num>
  <w:num w:numId="79">
    <w:abstractNumId w:val="99"/>
  </w:num>
  <w:num w:numId="80">
    <w:abstractNumId w:val="51"/>
  </w:num>
  <w:num w:numId="81">
    <w:abstractNumId w:val="73"/>
  </w:num>
  <w:num w:numId="82">
    <w:abstractNumId w:val="21"/>
  </w:num>
  <w:num w:numId="83">
    <w:abstractNumId w:val="7"/>
  </w:num>
  <w:num w:numId="84">
    <w:abstractNumId w:val="62"/>
  </w:num>
  <w:num w:numId="85">
    <w:abstractNumId w:val="38"/>
  </w:num>
  <w:num w:numId="86">
    <w:abstractNumId w:val="29"/>
  </w:num>
  <w:num w:numId="87">
    <w:abstractNumId w:val="84"/>
  </w:num>
  <w:num w:numId="88">
    <w:abstractNumId w:val="74"/>
  </w:num>
  <w:num w:numId="89">
    <w:abstractNumId w:val="82"/>
  </w:num>
  <w:num w:numId="90">
    <w:abstractNumId w:val="83"/>
  </w:num>
  <w:num w:numId="91">
    <w:abstractNumId w:val="41"/>
  </w:num>
  <w:num w:numId="92">
    <w:abstractNumId w:val="66"/>
  </w:num>
  <w:num w:numId="93">
    <w:abstractNumId w:val="13"/>
  </w:num>
  <w:num w:numId="94">
    <w:abstractNumId w:val="18"/>
  </w:num>
  <w:num w:numId="95">
    <w:abstractNumId w:val="25"/>
  </w:num>
  <w:num w:numId="96">
    <w:abstractNumId w:val="31"/>
  </w:num>
  <w:num w:numId="97">
    <w:abstractNumId w:val="15"/>
  </w:num>
  <w:num w:numId="98">
    <w:abstractNumId w:val="102"/>
  </w:num>
  <w:num w:numId="99">
    <w:abstractNumId w:val="37"/>
  </w:num>
  <w:num w:numId="100">
    <w:abstractNumId w:val="55"/>
  </w:num>
  <w:num w:numId="101">
    <w:abstractNumId w:val="32"/>
  </w:num>
  <w:num w:numId="102">
    <w:abstractNumId w:val="109"/>
  </w:num>
  <w:num w:numId="103">
    <w:abstractNumId w:val="10"/>
  </w:num>
  <w:num w:numId="104">
    <w:abstractNumId w:val="86"/>
  </w:num>
  <w:num w:numId="105">
    <w:abstractNumId w:val="35"/>
  </w:num>
  <w:num w:numId="106">
    <w:abstractNumId w:val="93"/>
  </w:num>
  <w:num w:numId="107">
    <w:abstractNumId w:val="100"/>
  </w:num>
  <w:num w:numId="108">
    <w:abstractNumId w:val="16"/>
  </w:num>
  <w:num w:numId="109">
    <w:abstractNumId w:val="65"/>
  </w:num>
  <w:num w:numId="110">
    <w:abstractNumId w:val="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GridTable1Light-Accent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EF"/>
    <w:rsid w:val="0000091F"/>
    <w:rsid w:val="00002A94"/>
    <w:rsid w:val="00005F07"/>
    <w:rsid w:val="00005F80"/>
    <w:rsid w:val="000065DA"/>
    <w:rsid w:val="00007195"/>
    <w:rsid w:val="000109CD"/>
    <w:rsid w:val="00013B9F"/>
    <w:rsid w:val="00017566"/>
    <w:rsid w:val="00022BC8"/>
    <w:rsid w:val="00022FFC"/>
    <w:rsid w:val="00023DE5"/>
    <w:rsid w:val="000245BD"/>
    <w:rsid w:val="000254EE"/>
    <w:rsid w:val="00031D66"/>
    <w:rsid w:val="000331BA"/>
    <w:rsid w:val="000349F8"/>
    <w:rsid w:val="0003516B"/>
    <w:rsid w:val="000361C7"/>
    <w:rsid w:val="00037E2D"/>
    <w:rsid w:val="000405F2"/>
    <w:rsid w:val="0004175C"/>
    <w:rsid w:val="00042468"/>
    <w:rsid w:val="0004268A"/>
    <w:rsid w:val="0004354A"/>
    <w:rsid w:val="0004433C"/>
    <w:rsid w:val="00044498"/>
    <w:rsid w:val="00044845"/>
    <w:rsid w:val="00044B53"/>
    <w:rsid w:val="0004766B"/>
    <w:rsid w:val="00047AC8"/>
    <w:rsid w:val="00047C24"/>
    <w:rsid w:val="00050CEF"/>
    <w:rsid w:val="00051103"/>
    <w:rsid w:val="000515B6"/>
    <w:rsid w:val="00052E09"/>
    <w:rsid w:val="00053B9C"/>
    <w:rsid w:val="00053BD1"/>
    <w:rsid w:val="0005532F"/>
    <w:rsid w:val="000554F8"/>
    <w:rsid w:val="00055538"/>
    <w:rsid w:val="000578B2"/>
    <w:rsid w:val="00060179"/>
    <w:rsid w:val="0006129F"/>
    <w:rsid w:val="00061B02"/>
    <w:rsid w:val="00064AB7"/>
    <w:rsid w:val="00066AA8"/>
    <w:rsid w:val="00066D48"/>
    <w:rsid w:val="000700BB"/>
    <w:rsid w:val="000701CF"/>
    <w:rsid w:val="00070A51"/>
    <w:rsid w:val="0007180E"/>
    <w:rsid w:val="0007211E"/>
    <w:rsid w:val="00072A2A"/>
    <w:rsid w:val="00072AEF"/>
    <w:rsid w:val="0007486F"/>
    <w:rsid w:val="00076323"/>
    <w:rsid w:val="00076562"/>
    <w:rsid w:val="00077D0C"/>
    <w:rsid w:val="00077F22"/>
    <w:rsid w:val="00081C2E"/>
    <w:rsid w:val="00081DB1"/>
    <w:rsid w:val="00082455"/>
    <w:rsid w:val="00083714"/>
    <w:rsid w:val="000840EB"/>
    <w:rsid w:val="00084300"/>
    <w:rsid w:val="00090214"/>
    <w:rsid w:val="00090786"/>
    <w:rsid w:val="00093395"/>
    <w:rsid w:val="00093916"/>
    <w:rsid w:val="000962D8"/>
    <w:rsid w:val="0009646C"/>
    <w:rsid w:val="00096CB9"/>
    <w:rsid w:val="000A167B"/>
    <w:rsid w:val="000A2BF9"/>
    <w:rsid w:val="000A2EB0"/>
    <w:rsid w:val="000A35D0"/>
    <w:rsid w:val="000A58D2"/>
    <w:rsid w:val="000A774D"/>
    <w:rsid w:val="000B12E5"/>
    <w:rsid w:val="000B26D2"/>
    <w:rsid w:val="000B325D"/>
    <w:rsid w:val="000B32D1"/>
    <w:rsid w:val="000B4035"/>
    <w:rsid w:val="000B4307"/>
    <w:rsid w:val="000B48A2"/>
    <w:rsid w:val="000B497F"/>
    <w:rsid w:val="000B67B4"/>
    <w:rsid w:val="000B7AE8"/>
    <w:rsid w:val="000B7CCD"/>
    <w:rsid w:val="000B7EC2"/>
    <w:rsid w:val="000C1A7C"/>
    <w:rsid w:val="000C25AA"/>
    <w:rsid w:val="000C2D38"/>
    <w:rsid w:val="000C36E6"/>
    <w:rsid w:val="000C3932"/>
    <w:rsid w:val="000C4116"/>
    <w:rsid w:val="000C5E85"/>
    <w:rsid w:val="000D0102"/>
    <w:rsid w:val="000D022B"/>
    <w:rsid w:val="000D07E5"/>
    <w:rsid w:val="000D1976"/>
    <w:rsid w:val="000D3164"/>
    <w:rsid w:val="000D4199"/>
    <w:rsid w:val="000D4E54"/>
    <w:rsid w:val="000D5DBB"/>
    <w:rsid w:val="000D7D20"/>
    <w:rsid w:val="000E0793"/>
    <w:rsid w:val="000E17E6"/>
    <w:rsid w:val="000E18D4"/>
    <w:rsid w:val="000E28AF"/>
    <w:rsid w:val="000E4B95"/>
    <w:rsid w:val="000E7221"/>
    <w:rsid w:val="000E7AA6"/>
    <w:rsid w:val="000F072B"/>
    <w:rsid w:val="000F1082"/>
    <w:rsid w:val="000F19B6"/>
    <w:rsid w:val="000F3BF5"/>
    <w:rsid w:val="000F79D4"/>
    <w:rsid w:val="001025D7"/>
    <w:rsid w:val="00104CD4"/>
    <w:rsid w:val="00104DC1"/>
    <w:rsid w:val="00105C73"/>
    <w:rsid w:val="001061AD"/>
    <w:rsid w:val="00106C54"/>
    <w:rsid w:val="00106F1B"/>
    <w:rsid w:val="00107145"/>
    <w:rsid w:val="00107BD7"/>
    <w:rsid w:val="00107EF5"/>
    <w:rsid w:val="00110284"/>
    <w:rsid w:val="00110360"/>
    <w:rsid w:val="00111BEA"/>
    <w:rsid w:val="00114112"/>
    <w:rsid w:val="001142E7"/>
    <w:rsid w:val="0011688D"/>
    <w:rsid w:val="00116BDB"/>
    <w:rsid w:val="00120249"/>
    <w:rsid w:val="0012051A"/>
    <w:rsid w:val="00120B26"/>
    <w:rsid w:val="00121059"/>
    <w:rsid w:val="00121567"/>
    <w:rsid w:val="00121710"/>
    <w:rsid w:val="00121F5F"/>
    <w:rsid w:val="00124990"/>
    <w:rsid w:val="00127179"/>
    <w:rsid w:val="00130F9C"/>
    <w:rsid w:val="00131196"/>
    <w:rsid w:val="00131AAC"/>
    <w:rsid w:val="0013284E"/>
    <w:rsid w:val="00132BA7"/>
    <w:rsid w:val="00133932"/>
    <w:rsid w:val="00133DE5"/>
    <w:rsid w:val="001345D8"/>
    <w:rsid w:val="0013482C"/>
    <w:rsid w:val="00136B52"/>
    <w:rsid w:val="0014101B"/>
    <w:rsid w:val="001427C3"/>
    <w:rsid w:val="001455B9"/>
    <w:rsid w:val="0014692E"/>
    <w:rsid w:val="00147243"/>
    <w:rsid w:val="0015020E"/>
    <w:rsid w:val="001508D6"/>
    <w:rsid w:val="00152B19"/>
    <w:rsid w:val="00153053"/>
    <w:rsid w:val="00153F97"/>
    <w:rsid w:val="00153FD4"/>
    <w:rsid w:val="00155C44"/>
    <w:rsid w:val="0015636F"/>
    <w:rsid w:val="0015640C"/>
    <w:rsid w:val="00156D29"/>
    <w:rsid w:val="00157377"/>
    <w:rsid w:val="00157546"/>
    <w:rsid w:val="00162204"/>
    <w:rsid w:val="00162D3F"/>
    <w:rsid w:val="00165EDB"/>
    <w:rsid w:val="0016E6C5"/>
    <w:rsid w:val="0017055C"/>
    <w:rsid w:val="00171D34"/>
    <w:rsid w:val="00171DE1"/>
    <w:rsid w:val="001760E7"/>
    <w:rsid w:val="00176DFA"/>
    <w:rsid w:val="00177268"/>
    <w:rsid w:val="001772AB"/>
    <w:rsid w:val="00177BDD"/>
    <w:rsid w:val="00180687"/>
    <w:rsid w:val="001809F1"/>
    <w:rsid w:val="00181002"/>
    <w:rsid w:val="0018173C"/>
    <w:rsid w:val="001829BE"/>
    <w:rsid w:val="00182D46"/>
    <w:rsid w:val="00182F66"/>
    <w:rsid w:val="00183B33"/>
    <w:rsid w:val="001867EB"/>
    <w:rsid w:val="001870A4"/>
    <w:rsid w:val="00191027"/>
    <w:rsid w:val="00191388"/>
    <w:rsid w:val="00191424"/>
    <w:rsid w:val="00192C4A"/>
    <w:rsid w:val="00194841"/>
    <w:rsid w:val="00194D36"/>
    <w:rsid w:val="001956C6"/>
    <w:rsid w:val="0019736C"/>
    <w:rsid w:val="00197D1C"/>
    <w:rsid w:val="001A0293"/>
    <w:rsid w:val="001A02CB"/>
    <w:rsid w:val="001A1490"/>
    <w:rsid w:val="001A1B16"/>
    <w:rsid w:val="001A1CD9"/>
    <w:rsid w:val="001A3111"/>
    <w:rsid w:val="001A3CE7"/>
    <w:rsid w:val="001A3D3A"/>
    <w:rsid w:val="001A5BB8"/>
    <w:rsid w:val="001A5D6F"/>
    <w:rsid w:val="001B0C14"/>
    <w:rsid w:val="001B3B89"/>
    <w:rsid w:val="001B65C2"/>
    <w:rsid w:val="001B7274"/>
    <w:rsid w:val="001B783A"/>
    <w:rsid w:val="001C0401"/>
    <w:rsid w:val="001C0690"/>
    <w:rsid w:val="001C0FE1"/>
    <w:rsid w:val="001C181B"/>
    <w:rsid w:val="001C4A6C"/>
    <w:rsid w:val="001C5B9C"/>
    <w:rsid w:val="001C6522"/>
    <w:rsid w:val="001C7074"/>
    <w:rsid w:val="001D2548"/>
    <w:rsid w:val="001D3DB5"/>
    <w:rsid w:val="001D4DB9"/>
    <w:rsid w:val="001D5227"/>
    <w:rsid w:val="001D6372"/>
    <w:rsid w:val="001D6890"/>
    <w:rsid w:val="001D7360"/>
    <w:rsid w:val="001E034F"/>
    <w:rsid w:val="001E1B1B"/>
    <w:rsid w:val="001E2A7A"/>
    <w:rsid w:val="001E2B7F"/>
    <w:rsid w:val="001E334F"/>
    <w:rsid w:val="001E3DB0"/>
    <w:rsid w:val="001E5287"/>
    <w:rsid w:val="001E5BD5"/>
    <w:rsid w:val="001E5E20"/>
    <w:rsid w:val="001E71A7"/>
    <w:rsid w:val="001E7DB9"/>
    <w:rsid w:val="001F000E"/>
    <w:rsid w:val="001F1E4D"/>
    <w:rsid w:val="001F34C3"/>
    <w:rsid w:val="001F3A46"/>
    <w:rsid w:val="001F447A"/>
    <w:rsid w:val="001F4C8A"/>
    <w:rsid w:val="001F4E95"/>
    <w:rsid w:val="001F75F4"/>
    <w:rsid w:val="001F787A"/>
    <w:rsid w:val="001FF359"/>
    <w:rsid w:val="00200172"/>
    <w:rsid w:val="002005FA"/>
    <w:rsid w:val="002012C0"/>
    <w:rsid w:val="00202EB7"/>
    <w:rsid w:val="00204834"/>
    <w:rsid w:val="002064FF"/>
    <w:rsid w:val="002067A0"/>
    <w:rsid w:val="00206C4F"/>
    <w:rsid w:val="00210B6B"/>
    <w:rsid w:val="00212252"/>
    <w:rsid w:val="0021256A"/>
    <w:rsid w:val="00217012"/>
    <w:rsid w:val="00217FFD"/>
    <w:rsid w:val="00220ED4"/>
    <w:rsid w:val="0022113D"/>
    <w:rsid w:val="002212FB"/>
    <w:rsid w:val="00222BAD"/>
    <w:rsid w:val="002237E6"/>
    <w:rsid w:val="00223A20"/>
    <w:rsid w:val="00225158"/>
    <w:rsid w:val="00225619"/>
    <w:rsid w:val="00226134"/>
    <w:rsid w:val="00226E9A"/>
    <w:rsid w:val="00227C6E"/>
    <w:rsid w:val="0023036B"/>
    <w:rsid w:val="00231284"/>
    <w:rsid w:val="00232760"/>
    <w:rsid w:val="00232F33"/>
    <w:rsid w:val="002334FF"/>
    <w:rsid w:val="00233C17"/>
    <w:rsid w:val="00235411"/>
    <w:rsid w:val="00243374"/>
    <w:rsid w:val="00245E9B"/>
    <w:rsid w:val="00246F98"/>
    <w:rsid w:val="002509A7"/>
    <w:rsid w:val="00253F7D"/>
    <w:rsid w:val="002546AB"/>
    <w:rsid w:val="00255E04"/>
    <w:rsid w:val="00257364"/>
    <w:rsid w:val="002606E0"/>
    <w:rsid w:val="00261A86"/>
    <w:rsid w:val="00261CD2"/>
    <w:rsid w:val="002631FD"/>
    <w:rsid w:val="0026503B"/>
    <w:rsid w:val="00265848"/>
    <w:rsid w:val="00265932"/>
    <w:rsid w:val="00265C7D"/>
    <w:rsid w:val="00266727"/>
    <w:rsid w:val="00267413"/>
    <w:rsid w:val="00271565"/>
    <w:rsid w:val="00271B8C"/>
    <w:rsid w:val="00271D36"/>
    <w:rsid w:val="002734E9"/>
    <w:rsid w:val="002745EF"/>
    <w:rsid w:val="0028112B"/>
    <w:rsid w:val="002820B1"/>
    <w:rsid w:val="0028278B"/>
    <w:rsid w:val="002849D4"/>
    <w:rsid w:val="002862F3"/>
    <w:rsid w:val="002864E6"/>
    <w:rsid w:val="002870C8"/>
    <w:rsid w:val="00294BA4"/>
    <w:rsid w:val="00295084"/>
    <w:rsid w:val="00297A90"/>
    <w:rsid w:val="002A0425"/>
    <w:rsid w:val="002A1DC8"/>
    <w:rsid w:val="002A30DB"/>
    <w:rsid w:val="002A35DE"/>
    <w:rsid w:val="002A37E4"/>
    <w:rsid w:val="002B0A49"/>
    <w:rsid w:val="002B22DF"/>
    <w:rsid w:val="002B434B"/>
    <w:rsid w:val="002B5AA9"/>
    <w:rsid w:val="002B5EDD"/>
    <w:rsid w:val="002B6E02"/>
    <w:rsid w:val="002C1AB8"/>
    <w:rsid w:val="002C247D"/>
    <w:rsid w:val="002C32AB"/>
    <w:rsid w:val="002D0AE1"/>
    <w:rsid w:val="002D263F"/>
    <w:rsid w:val="002D5413"/>
    <w:rsid w:val="002E1F08"/>
    <w:rsid w:val="002E4B42"/>
    <w:rsid w:val="002E5945"/>
    <w:rsid w:val="002E61A3"/>
    <w:rsid w:val="002E6300"/>
    <w:rsid w:val="002E6EFD"/>
    <w:rsid w:val="002E7D82"/>
    <w:rsid w:val="002F0DAF"/>
    <w:rsid w:val="002F1785"/>
    <w:rsid w:val="002F189B"/>
    <w:rsid w:val="002F3BC3"/>
    <w:rsid w:val="002F5E44"/>
    <w:rsid w:val="002F5F35"/>
    <w:rsid w:val="002F7B57"/>
    <w:rsid w:val="00300987"/>
    <w:rsid w:val="003023BE"/>
    <w:rsid w:val="00302BE6"/>
    <w:rsid w:val="00302D30"/>
    <w:rsid w:val="003035EA"/>
    <w:rsid w:val="003040ED"/>
    <w:rsid w:val="00304249"/>
    <w:rsid w:val="0030701A"/>
    <w:rsid w:val="00307563"/>
    <w:rsid w:val="00310C63"/>
    <w:rsid w:val="00310CBA"/>
    <w:rsid w:val="00311D3A"/>
    <w:rsid w:val="0031343E"/>
    <w:rsid w:val="00314324"/>
    <w:rsid w:val="00314C7C"/>
    <w:rsid w:val="00320328"/>
    <w:rsid w:val="00322FAD"/>
    <w:rsid w:val="00323317"/>
    <w:rsid w:val="003239F1"/>
    <w:rsid w:val="00326772"/>
    <w:rsid w:val="00330B2E"/>
    <w:rsid w:val="003322A0"/>
    <w:rsid w:val="003326D2"/>
    <w:rsid w:val="00332B74"/>
    <w:rsid w:val="00332F9E"/>
    <w:rsid w:val="0033305D"/>
    <w:rsid w:val="003342F2"/>
    <w:rsid w:val="0033674F"/>
    <w:rsid w:val="00336A79"/>
    <w:rsid w:val="003370F8"/>
    <w:rsid w:val="00337877"/>
    <w:rsid w:val="00337EE9"/>
    <w:rsid w:val="0034018B"/>
    <w:rsid w:val="0034028F"/>
    <w:rsid w:val="00340620"/>
    <w:rsid w:val="00340732"/>
    <w:rsid w:val="003430D3"/>
    <w:rsid w:val="00344017"/>
    <w:rsid w:val="0034479C"/>
    <w:rsid w:val="003457C4"/>
    <w:rsid w:val="00346E62"/>
    <w:rsid w:val="0035037C"/>
    <w:rsid w:val="00351BCB"/>
    <w:rsid w:val="00354AE6"/>
    <w:rsid w:val="003555EA"/>
    <w:rsid w:val="00356A33"/>
    <w:rsid w:val="003610B6"/>
    <w:rsid w:val="00362825"/>
    <w:rsid w:val="00362940"/>
    <w:rsid w:val="003629AA"/>
    <w:rsid w:val="00362BA9"/>
    <w:rsid w:val="00363093"/>
    <w:rsid w:val="00370FDD"/>
    <w:rsid w:val="003728A9"/>
    <w:rsid w:val="00374130"/>
    <w:rsid w:val="00374242"/>
    <w:rsid w:val="00374710"/>
    <w:rsid w:val="00374872"/>
    <w:rsid w:val="00377787"/>
    <w:rsid w:val="00381AE6"/>
    <w:rsid w:val="00382503"/>
    <w:rsid w:val="00383160"/>
    <w:rsid w:val="00384F19"/>
    <w:rsid w:val="00385BF1"/>
    <w:rsid w:val="00386752"/>
    <w:rsid w:val="003905E2"/>
    <w:rsid w:val="0039141C"/>
    <w:rsid w:val="00392BE5"/>
    <w:rsid w:val="00394F9A"/>
    <w:rsid w:val="003958FE"/>
    <w:rsid w:val="00396E1C"/>
    <w:rsid w:val="00397535"/>
    <w:rsid w:val="003A2B63"/>
    <w:rsid w:val="003A3CE0"/>
    <w:rsid w:val="003A6EA7"/>
    <w:rsid w:val="003A735F"/>
    <w:rsid w:val="003B0EB3"/>
    <w:rsid w:val="003B105F"/>
    <w:rsid w:val="003B3CC2"/>
    <w:rsid w:val="003B4F03"/>
    <w:rsid w:val="003B6BB9"/>
    <w:rsid w:val="003C0039"/>
    <w:rsid w:val="003C01CE"/>
    <w:rsid w:val="003C067E"/>
    <w:rsid w:val="003C3480"/>
    <w:rsid w:val="003C3DF0"/>
    <w:rsid w:val="003C5AC7"/>
    <w:rsid w:val="003C661C"/>
    <w:rsid w:val="003C6F32"/>
    <w:rsid w:val="003C7A3D"/>
    <w:rsid w:val="003D1240"/>
    <w:rsid w:val="003D2D94"/>
    <w:rsid w:val="003D346D"/>
    <w:rsid w:val="003D37F9"/>
    <w:rsid w:val="003D492C"/>
    <w:rsid w:val="003D66E2"/>
    <w:rsid w:val="003D679F"/>
    <w:rsid w:val="003D73C7"/>
    <w:rsid w:val="003D75FF"/>
    <w:rsid w:val="003E01F7"/>
    <w:rsid w:val="003E1135"/>
    <w:rsid w:val="003E1438"/>
    <w:rsid w:val="003E3A35"/>
    <w:rsid w:val="003E46C3"/>
    <w:rsid w:val="003E554D"/>
    <w:rsid w:val="003E5A76"/>
    <w:rsid w:val="003E6F73"/>
    <w:rsid w:val="003F047F"/>
    <w:rsid w:val="003F0FAB"/>
    <w:rsid w:val="003F1006"/>
    <w:rsid w:val="003F1338"/>
    <w:rsid w:val="003F172A"/>
    <w:rsid w:val="003F1EAD"/>
    <w:rsid w:val="003F2608"/>
    <w:rsid w:val="003F4907"/>
    <w:rsid w:val="003F4E7F"/>
    <w:rsid w:val="003F6061"/>
    <w:rsid w:val="003F6CA3"/>
    <w:rsid w:val="004001EE"/>
    <w:rsid w:val="004011C0"/>
    <w:rsid w:val="00402133"/>
    <w:rsid w:val="004023AB"/>
    <w:rsid w:val="00403189"/>
    <w:rsid w:val="0040341B"/>
    <w:rsid w:val="00403783"/>
    <w:rsid w:val="00403A52"/>
    <w:rsid w:val="00403A66"/>
    <w:rsid w:val="00405719"/>
    <w:rsid w:val="00407DB7"/>
    <w:rsid w:val="00411427"/>
    <w:rsid w:val="00411ABD"/>
    <w:rsid w:val="00411F6A"/>
    <w:rsid w:val="0041543D"/>
    <w:rsid w:val="00417716"/>
    <w:rsid w:val="00420043"/>
    <w:rsid w:val="00420DC5"/>
    <w:rsid w:val="00424FCD"/>
    <w:rsid w:val="00425760"/>
    <w:rsid w:val="004261AD"/>
    <w:rsid w:val="00430A50"/>
    <w:rsid w:val="00435BE9"/>
    <w:rsid w:val="00436318"/>
    <w:rsid w:val="00437A32"/>
    <w:rsid w:val="00437BD0"/>
    <w:rsid w:val="004401C7"/>
    <w:rsid w:val="00440754"/>
    <w:rsid w:val="0044101D"/>
    <w:rsid w:val="00441CEA"/>
    <w:rsid w:val="00442542"/>
    <w:rsid w:val="00442AC9"/>
    <w:rsid w:val="004446A9"/>
    <w:rsid w:val="004460DE"/>
    <w:rsid w:val="00454676"/>
    <w:rsid w:val="00454A6A"/>
    <w:rsid w:val="004577C5"/>
    <w:rsid w:val="00461B2C"/>
    <w:rsid w:val="00461D08"/>
    <w:rsid w:val="00462414"/>
    <w:rsid w:val="004626B7"/>
    <w:rsid w:val="00463756"/>
    <w:rsid w:val="00463C8F"/>
    <w:rsid w:val="00466ABA"/>
    <w:rsid w:val="004705ED"/>
    <w:rsid w:val="004724C2"/>
    <w:rsid w:val="0047264E"/>
    <w:rsid w:val="00472E33"/>
    <w:rsid w:val="00472F4E"/>
    <w:rsid w:val="0047407E"/>
    <w:rsid w:val="00474A43"/>
    <w:rsid w:val="00477A1C"/>
    <w:rsid w:val="00480C46"/>
    <w:rsid w:val="0048109B"/>
    <w:rsid w:val="004849EE"/>
    <w:rsid w:val="004853ED"/>
    <w:rsid w:val="00485999"/>
    <w:rsid w:val="00486157"/>
    <w:rsid w:val="00486934"/>
    <w:rsid w:val="004875BD"/>
    <w:rsid w:val="00491B77"/>
    <w:rsid w:val="00494D52"/>
    <w:rsid w:val="00497346"/>
    <w:rsid w:val="00497C1D"/>
    <w:rsid w:val="004A21C8"/>
    <w:rsid w:val="004A3D17"/>
    <w:rsid w:val="004A41F2"/>
    <w:rsid w:val="004A4AB8"/>
    <w:rsid w:val="004A6B2A"/>
    <w:rsid w:val="004A6E17"/>
    <w:rsid w:val="004B0260"/>
    <w:rsid w:val="004B1EAE"/>
    <w:rsid w:val="004B4AB1"/>
    <w:rsid w:val="004C016C"/>
    <w:rsid w:val="004C050D"/>
    <w:rsid w:val="004C0F07"/>
    <w:rsid w:val="004C110F"/>
    <w:rsid w:val="004C1375"/>
    <w:rsid w:val="004C2A7C"/>
    <w:rsid w:val="004C4C83"/>
    <w:rsid w:val="004C4CFD"/>
    <w:rsid w:val="004C4EE8"/>
    <w:rsid w:val="004C5064"/>
    <w:rsid w:val="004C5EFB"/>
    <w:rsid w:val="004C6AD9"/>
    <w:rsid w:val="004C6FF9"/>
    <w:rsid w:val="004C74F5"/>
    <w:rsid w:val="004C764B"/>
    <w:rsid w:val="004C766F"/>
    <w:rsid w:val="004D06AA"/>
    <w:rsid w:val="004D0E69"/>
    <w:rsid w:val="004D2EA4"/>
    <w:rsid w:val="004D53FD"/>
    <w:rsid w:val="004D5519"/>
    <w:rsid w:val="004E47DD"/>
    <w:rsid w:val="004E5877"/>
    <w:rsid w:val="004E7F58"/>
    <w:rsid w:val="004F00E3"/>
    <w:rsid w:val="004F0295"/>
    <w:rsid w:val="004F0E22"/>
    <w:rsid w:val="004F10AA"/>
    <w:rsid w:val="004F1226"/>
    <w:rsid w:val="004F13EE"/>
    <w:rsid w:val="004F1403"/>
    <w:rsid w:val="004F1A23"/>
    <w:rsid w:val="004F1B4C"/>
    <w:rsid w:val="004F2C7F"/>
    <w:rsid w:val="004F4C0A"/>
    <w:rsid w:val="004F4E6E"/>
    <w:rsid w:val="004F69E3"/>
    <w:rsid w:val="004F7542"/>
    <w:rsid w:val="00500478"/>
    <w:rsid w:val="00500648"/>
    <w:rsid w:val="00502EF3"/>
    <w:rsid w:val="00503C2A"/>
    <w:rsid w:val="00506668"/>
    <w:rsid w:val="005070FC"/>
    <w:rsid w:val="005072EB"/>
    <w:rsid w:val="005102D0"/>
    <w:rsid w:val="0051286E"/>
    <w:rsid w:val="0051317D"/>
    <w:rsid w:val="00514683"/>
    <w:rsid w:val="0051655A"/>
    <w:rsid w:val="00516569"/>
    <w:rsid w:val="005174CC"/>
    <w:rsid w:val="005207A3"/>
    <w:rsid w:val="0052081D"/>
    <w:rsid w:val="005253BC"/>
    <w:rsid w:val="00532189"/>
    <w:rsid w:val="00533867"/>
    <w:rsid w:val="00535917"/>
    <w:rsid w:val="0053594D"/>
    <w:rsid w:val="00536E9F"/>
    <w:rsid w:val="00536F23"/>
    <w:rsid w:val="005370A9"/>
    <w:rsid w:val="005408CC"/>
    <w:rsid w:val="005409D7"/>
    <w:rsid w:val="00545C12"/>
    <w:rsid w:val="0055051C"/>
    <w:rsid w:val="005522A4"/>
    <w:rsid w:val="00552FA1"/>
    <w:rsid w:val="005532EA"/>
    <w:rsid w:val="00554913"/>
    <w:rsid w:val="00567ED1"/>
    <w:rsid w:val="00570603"/>
    <w:rsid w:val="0057275B"/>
    <w:rsid w:val="00576121"/>
    <w:rsid w:val="005765DF"/>
    <w:rsid w:val="005769F6"/>
    <w:rsid w:val="00576B6B"/>
    <w:rsid w:val="00576CF9"/>
    <w:rsid w:val="005805CA"/>
    <w:rsid w:val="00580655"/>
    <w:rsid w:val="0058279B"/>
    <w:rsid w:val="00582E7C"/>
    <w:rsid w:val="0058469C"/>
    <w:rsid w:val="00585747"/>
    <w:rsid w:val="0058611B"/>
    <w:rsid w:val="00590463"/>
    <w:rsid w:val="00590C9B"/>
    <w:rsid w:val="00592BDA"/>
    <w:rsid w:val="00593339"/>
    <w:rsid w:val="00595F31"/>
    <w:rsid w:val="00596ED9"/>
    <w:rsid w:val="0059720E"/>
    <w:rsid w:val="005A0822"/>
    <w:rsid w:val="005A0E59"/>
    <w:rsid w:val="005A3800"/>
    <w:rsid w:val="005A3896"/>
    <w:rsid w:val="005A4752"/>
    <w:rsid w:val="005A5A8D"/>
    <w:rsid w:val="005A7DAB"/>
    <w:rsid w:val="005B19F9"/>
    <w:rsid w:val="005B2D47"/>
    <w:rsid w:val="005B4A8D"/>
    <w:rsid w:val="005B53F5"/>
    <w:rsid w:val="005B5BB7"/>
    <w:rsid w:val="005B7435"/>
    <w:rsid w:val="005C13C7"/>
    <w:rsid w:val="005C1C36"/>
    <w:rsid w:val="005C30FD"/>
    <w:rsid w:val="005C3B06"/>
    <w:rsid w:val="005C5F6F"/>
    <w:rsid w:val="005C685F"/>
    <w:rsid w:val="005C6942"/>
    <w:rsid w:val="005C71DE"/>
    <w:rsid w:val="005D145A"/>
    <w:rsid w:val="005D1B08"/>
    <w:rsid w:val="005D2C7F"/>
    <w:rsid w:val="005D2F5F"/>
    <w:rsid w:val="005D3BA8"/>
    <w:rsid w:val="005D4FC2"/>
    <w:rsid w:val="005D5D5B"/>
    <w:rsid w:val="005D61F0"/>
    <w:rsid w:val="005E1764"/>
    <w:rsid w:val="005E3A26"/>
    <w:rsid w:val="005E4127"/>
    <w:rsid w:val="005F07F9"/>
    <w:rsid w:val="005F1264"/>
    <w:rsid w:val="005F25FA"/>
    <w:rsid w:val="005F2AB4"/>
    <w:rsid w:val="005F2BD7"/>
    <w:rsid w:val="005F3D88"/>
    <w:rsid w:val="005F48E5"/>
    <w:rsid w:val="005F58DA"/>
    <w:rsid w:val="0060205D"/>
    <w:rsid w:val="00602451"/>
    <w:rsid w:val="0060335B"/>
    <w:rsid w:val="00604404"/>
    <w:rsid w:val="00605CA4"/>
    <w:rsid w:val="00606262"/>
    <w:rsid w:val="00613A21"/>
    <w:rsid w:val="00613B60"/>
    <w:rsid w:val="006148A1"/>
    <w:rsid w:val="00614D87"/>
    <w:rsid w:val="006153E6"/>
    <w:rsid w:val="00617939"/>
    <w:rsid w:val="00621003"/>
    <w:rsid w:val="0062277A"/>
    <w:rsid w:val="00622DA5"/>
    <w:rsid w:val="00623CA5"/>
    <w:rsid w:val="006251A0"/>
    <w:rsid w:val="00627A51"/>
    <w:rsid w:val="00631CAD"/>
    <w:rsid w:val="00631DFE"/>
    <w:rsid w:val="00632939"/>
    <w:rsid w:val="00632AF4"/>
    <w:rsid w:val="00636B52"/>
    <w:rsid w:val="00641698"/>
    <w:rsid w:val="00642407"/>
    <w:rsid w:val="006426CA"/>
    <w:rsid w:val="006457CA"/>
    <w:rsid w:val="006459C6"/>
    <w:rsid w:val="006462C7"/>
    <w:rsid w:val="0064791E"/>
    <w:rsid w:val="0065031F"/>
    <w:rsid w:val="00653AAC"/>
    <w:rsid w:val="00654BD2"/>
    <w:rsid w:val="00655D6D"/>
    <w:rsid w:val="006578C2"/>
    <w:rsid w:val="00657AF0"/>
    <w:rsid w:val="00657E03"/>
    <w:rsid w:val="00660512"/>
    <w:rsid w:val="00661584"/>
    <w:rsid w:val="00662E76"/>
    <w:rsid w:val="00663072"/>
    <w:rsid w:val="006631F0"/>
    <w:rsid w:val="006633C4"/>
    <w:rsid w:val="00663BD3"/>
    <w:rsid w:val="00665765"/>
    <w:rsid w:val="006667C6"/>
    <w:rsid w:val="006703E9"/>
    <w:rsid w:val="006723BA"/>
    <w:rsid w:val="006724E8"/>
    <w:rsid w:val="006735BE"/>
    <w:rsid w:val="00676192"/>
    <w:rsid w:val="0067655C"/>
    <w:rsid w:val="00676C27"/>
    <w:rsid w:val="0068091A"/>
    <w:rsid w:val="006822E7"/>
    <w:rsid w:val="00682A2C"/>
    <w:rsid w:val="006926AE"/>
    <w:rsid w:val="00694D28"/>
    <w:rsid w:val="00696983"/>
    <w:rsid w:val="00697173"/>
    <w:rsid w:val="006A030B"/>
    <w:rsid w:val="006A2053"/>
    <w:rsid w:val="006A20A2"/>
    <w:rsid w:val="006A51A6"/>
    <w:rsid w:val="006A6A03"/>
    <w:rsid w:val="006A6C9E"/>
    <w:rsid w:val="006A7224"/>
    <w:rsid w:val="006B0F77"/>
    <w:rsid w:val="006B2E35"/>
    <w:rsid w:val="006B44DF"/>
    <w:rsid w:val="006B50D3"/>
    <w:rsid w:val="006B6AB1"/>
    <w:rsid w:val="006B76ED"/>
    <w:rsid w:val="006B780D"/>
    <w:rsid w:val="006C042A"/>
    <w:rsid w:val="006C08FB"/>
    <w:rsid w:val="006C1D01"/>
    <w:rsid w:val="006C20E5"/>
    <w:rsid w:val="006C30EC"/>
    <w:rsid w:val="006C475E"/>
    <w:rsid w:val="006C4981"/>
    <w:rsid w:val="006C6020"/>
    <w:rsid w:val="006C6530"/>
    <w:rsid w:val="006C6977"/>
    <w:rsid w:val="006C6F90"/>
    <w:rsid w:val="006C7D12"/>
    <w:rsid w:val="006D0B4B"/>
    <w:rsid w:val="006D0FB4"/>
    <w:rsid w:val="006D1FE9"/>
    <w:rsid w:val="006D4B3B"/>
    <w:rsid w:val="006D54F1"/>
    <w:rsid w:val="006E116A"/>
    <w:rsid w:val="006E20F4"/>
    <w:rsid w:val="006E21D2"/>
    <w:rsid w:val="006E27CE"/>
    <w:rsid w:val="006E30F9"/>
    <w:rsid w:val="006E5F16"/>
    <w:rsid w:val="006E695D"/>
    <w:rsid w:val="006E6AA1"/>
    <w:rsid w:val="006E6B5B"/>
    <w:rsid w:val="006E7669"/>
    <w:rsid w:val="006E7E4E"/>
    <w:rsid w:val="006F0CF0"/>
    <w:rsid w:val="006F1DD2"/>
    <w:rsid w:val="006F4D11"/>
    <w:rsid w:val="006F4DB8"/>
    <w:rsid w:val="006F61A3"/>
    <w:rsid w:val="006F671A"/>
    <w:rsid w:val="006F75BE"/>
    <w:rsid w:val="006F7A15"/>
    <w:rsid w:val="00701041"/>
    <w:rsid w:val="007015D9"/>
    <w:rsid w:val="00704146"/>
    <w:rsid w:val="0070515B"/>
    <w:rsid w:val="00705AC8"/>
    <w:rsid w:val="007060E6"/>
    <w:rsid w:val="00707D26"/>
    <w:rsid w:val="007103E8"/>
    <w:rsid w:val="0071322C"/>
    <w:rsid w:val="00715695"/>
    <w:rsid w:val="00717082"/>
    <w:rsid w:val="007178CD"/>
    <w:rsid w:val="00717AE7"/>
    <w:rsid w:val="00717D69"/>
    <w:rsid w:val="00720CE2"/>
    <w:rsid w:val="007212E7"/>
    <w:rsid w:val="00721346"/>
    <w:rsid w:val="00722639"/>
    <w:rsid w:val="00723771"/>
    <w:rsid w:val="0072529F"/>
    <w:rsid w:val="00725446"/>
    <w:rsid w:val="0072578B"/>
    <w:rsid w:val="0072716E"/>
    <w:rsid w:val="007279DC"/>
    <w:rsid w:val="00730D3C"/>
    <w:rsid w:val="00732EE4"/>
    <w:rsid w:val="00735FA5"/>
    <w:rsid w:val="00737C78"/>
    <w:rsid w:val="007400E5"/>
    <w:rsid w:val="007416C3"/>
    <w:rsid w:val="007418C2"/>
    <w:rsid w:val="00742827"/>
    <w:rsid w:val="00743391"/>
    <w:rsid w:val="007439E0"/>
    <w:rsid w:val="00746C79"/>
    <w:rsid w:val="00747DF3"/>
    <w:rsid w:val="00750ED3"/>
    <w:rsid w:val="0075118B"/>
    <w:rsid w:val="00751BD5"/>
    <w:rsid w:val="00751D60"/>
    <w:rsid w:val="007528FC"/>
    <w:rsid w:val="007540F3"/>
    <w:rsid w:val="00756171"/>
    <w:rsid w:val="00756B2A"/>
    <w:rsid w:val="007576FD"/>
    <w:rsid w:val="00757F7D"/>
    <w:rsid w:val="00760C37"/>
    <w:rsid w:val="00761195"/>
    <w:rsid w:val="00762257"/>
    <w:rsid w:val="0076241C"/>
    <w:rsid w:val="007635A1"/>
    <w:rsid w:val="00765008"/>
    <w:rsid w:val="0076625D"/>
    <w:rsid w:val="00767165"/>
    <w:rsid w:val="00767BCB"/>
    <w:rsid w:val="0077168A"/>
    <w:rsid w:val="00772F04"/>
    <w:rsid w:val="007736A2"/>
    <w:rsid w:val="00773FEF"/>
    <w:rsid w:val="0077609A"/>
    <w:rsid w:val="00776254"/>
    <w:rsid w:val="0077660E"/>
    <w:rsid w:val="0077795E"/>
    <w:rsid w:val="00780AF1"/>
    <w:rsid w:val="0078249A"/>
    <w:rsid w:val="00784E2C"/>
    <w:rsid w:val="007876CD"/>
    <w:rsid w:val="007940CD"/>
    <w:rsid w:val="007952C6"/>
    <w:rsid w:val="00795A2E"/>
    <w:rsid w:val="0079737C"/>
    <w:rsid w:val="00797805"/>
    <w:rsid w:val="007A03CF"/>
    <w:rsid w:val="007A26B2"/>
    <w:rsid w:val="007A4890"/>
    <w:rsid w:val="007A5EE5"/>
    <w:rsid w:val="007A6F3D"/>
    <w:rsid w:val="007A767D"/>
    <w:rsid w:val="007B271F"/>
    <w:rsid w:val="007B2A43"/>
    <w:rsid w:val="007B2F12"/>
    <w:rsid w:val="007B4171"/>
    <w:rsid w:val="007B626C"/>
    <w:rsid w:val="007B64D6"/>
    <w:rsid w:val="007B6FA8"/>
    <w:rsid w:val="007B7C10"/>
    <w:rsid w:val="007B7DA1"/>
    <w:rsid w:val="007C0ED7"/>
    <w:rsid w:val="007C11BB"/>
    <w:rsid w:val="007C1779"/>
    <w:rsid w:val="007C212A"/>
    <w:rsid w:val="007C7221"/>
    <w:rsid w:val="007C7EDE"/>
    <w:rsid w:val="007D392F"/>
    <w:rsid w:val="007D4A3A"/>
    <w:rsid w:val="007D6EA2"/>
    <w:rsid w:val="007D7F64"/>
    <w:rsid w:val="007E02E7"/>
    <w:rsid w:val="007E0438"/>
    <w:rsid w:val="007E108F"/>
    <w:rsid w:val="007E2758"/>
    <w:rsid w:val="007E3032"/>
    <w:rsid w:val="007E55BF"/>
    <w:rsid w:val="007E6BE0"/>
    <w:rsid w:val="007F1528"/>
    <w:rsid w:val="007F48E4"/>
    <w:rsid w:val="007F5199"/>
    <w:rsid w:val="007F547B"/>
    <w:rsid w:val="0080060D"/>
    <w:rsid w:val="00801D7B"/>
    <w:rsid w:val="00803202"/>
    <w:rsid w:val="008072E7"/>
    <w:rsid w:val="00807370"/>
    <w:rsid w:val="00807642"/>
    <w:rsid w:val="00807872"/>
    <w:rsid w:val="00811389"/>
    <w:rsid w:val="0081303E"/>
    <w:rsid w:val="00815231"/>
    <w:rsid w:val="00815734"/>
    <w:rsid w:val="00815E1F"/>
    <w:rsid w:val="00816982"/>
    <w:rsid w:val="00820521"/>
    <w:rsid w:val="00820805"/>
    <w:rsid w:val="00820E79"/>
    <w:rsid w:val="0082193A"/>
    <w:rsid w:val="00821F1A"/>
    <w:rsid w:val="008223AD"/>
    <w:rsid w:val="00823C69"/>
    <w:rsid w:val="00826553"/>
    <w:rsid w:val="00827D0D"/>
    <w:rsid w:val="008317B3"/>
    <w:rsid w:val="00834021"/>
    <w:rsid w:val="008342D2"/>
    <w:rsid w:val="0083445F"/>
    <w:rsid w:val="00835448"/>
    <w:rsid w:val="00836526"/>
    <w:rsid w:val="00836C2B"/>
    <w:rsid w:val="0084021F"/>
    <w:rsid w:val="00841305"/>
    <w:rsid w:val="00841D16"/>
    <w:rsid w:val="00843429"/>
    <w:rsid w:val="00843C15"/>
    <w:rsid w:val="0084629D"/>
    <w:rsid w:val="00846E85"/>
    <w:rsid w:val="00852CCB"/>
    <w:rsid w:val="008538BA"/>
    <w:rsid w:val="00854FCF"/>
    <w:rsid w:val="00855715"/>
    <w:rsid w:val="00856921"/>
    <w:rsid w:val="00857094"/>
    <w:rsid w:val="008579CB"/>
    <w:rsid w:val="0086046D"/>
    <w:rsid w:val="0086134D"/>
    <w:rsid w:val="008630BC"/>
    <w:rsid w:val="008648BB"/>
    <w:rsid w:val="00866CEA"/>
    <w:rsid w:val="00867046"/>
    <w:rsid w:val="00870369"/>
    <w:rsid w:val="00871CD6"/>
    <w:rsid w:val="0087298A"/>
    <w:rsid w:val="00872B64"/>
    <w:rsid w:val="008730EE"/>
    <w:rsid w:val="0087501E"/>
    <w:rsid w:val="00875B99"/>
    <w:rsid w:val="00877218"/>
    <w:rsid w:val="008805EC"/>
    <w:rsid w:val="008835EC"/>
    <w:rsid w:val="00883729"/>
    <w:rsid w:val="00883D85"/>
    <w:rsid w:val="008863C5"/>
    <w:rsid w:val="00887BF9"/>
    <w:rsid w:val="00887CC9"/>
    <w:rsid w:val="008916E1"/>
    <w:rsid w:val="008934C0"/>
    <w:rsid w:val="00893CD9"/>
    <w:rsid w:val="008940F5"/>
    <w:rsid w:val="00894AFD"/>
    <w:rsid w:val="008A040B"/>
    <w:rsid w:val="008A0B93"/>
    <w:rsid w:val="008A111C"/>
    <w:rsid w:val="008A2A33"/>
    <w:rsid w:val="008A3F1E"/>
    <w:rsid w:val="008A3F21"/>
    <w:rsid w:val="008B02EF"/>
    <w:rsid w:val="008B0462"/>
    <w:rsid w:val="008B2473"/>
    <w:rsid w:val="008B42A3"/>
    <w:rsid w:val="008C04C2"/>
    <w:rsid w:val="008C18F4"/>
    <w:rsid w:val="008C230A"/>
    <w:rsid w:val="008C2693"/>
    <w:rsid w:val="008C3F82"/>
    <w:rsid w:val="008C51FF"/>
    <w:rsid w:val="008C5AA2"/>
    <w:rsid w:val="008D157A"/>
    <w:rsid w:val="008D3B31"/>
    <w:rsid w:val="008D707D"/>
    <w:rsid w:val="008E19E6"/>
    <w:rsid w:val="008E1F42"/>
    <w:rsid w:val="008E2217"/>
    <w:rsid w:val="008E261A"/>
    <w:rsid w:val="008E3778"/>
    <w:rsid w:val="008E5B7A"/>
    <w:rsid w:val="008E690E"/>
    <w:rsid w:val="008E7AD0"/>
    <w:rsid w:val="008F3040"/>
    <w:rsid w:val="008F7202"/>
    <w:rsid w:val="00902978"/>
    <w:rsid w:val="009031D8"/>
    <w:rsid w:val="0090539A"/>
    <w:rsid w:val="00905430"/>
    <w:rsid w:val="00906B54"/>
    <w:rsid w:val="00906F2D"/>
    <w:rsid w:val="00911063"/>
    <w:rsid w:val="009112A3"/>
    <w:rsid w:val="0091134A"/>
    <w:rsid w:val="009134D4"/>
    <w:rsid w:val="009172C8"/>
    <w:rsid w:val="00917334"/>
    <w:rsid w:val="00917734"/>
    <w:rsid w:val="0091793D"/>
    <w:rsid w:val="009179BC"/>
    <w:rsid w:val="00917AA3"/>
    <w:rsid w:val="00917FC9"/>
    <w:rsid w:val="00920069"/>
    <w:rsid w:val="00921419"/>
    <w:rsid w:val="0092198A"/>
    <w:rsid w:val="00921DE3"/>
    <w:rsid w:val="0092295C"/>
    <w:rsid w:val="00922E82"/>
    <w:rsid w:val="00923290"/>
    <w:rsid w:val="00924F07"/>
    <w:rsid w:val="009257F1"/>
    <w:rsid w:val="0093039D"/>
    <w:rsid w:val="00930A6E"/>
    <w:rsid w:val="009311E8"/>
    <w:rsid w:val="0093499C"/>
    <w:rsid w:val="00936634"/>
    <w:rsid w:val="00937991"/>
    <w:rsid w:val="0093C338"/>
    <w:rsid w:val="00941682"/>
    <w:rsid w:val="009426E9"/>
    <w:rsid w:val="00942CF2"/>
    <w:rsid w:val="00943EEE"/>
    <w:rsid w:val="0094519D"/>
    <w:rsid w:val="00945549"/>
    <w:rsid w:val="00945B5D"/>
    <w:rsid w:val="00945DE6"/>
    <w:rsid w:val="009464FE"/>
    <w:rsid w:val="00947EAF"/>
    <w:rsid w:val="009523E1"/>
    <w:rsid w:val="00953ED2"/>
    <w:rsid w:val="009551EF"/>
    <w:rsid w:val="00955707"/>
    <w:rsid w:val="009568E8"/>
    <w:rsid w:val="009612AD"/>
    <w:rsid w:val="00961F25"/>
    <w:rsid w:val="00963996"/>
    <w:rsid w:val="0096723F"/>
    <w:rsid w:val="00967F76"/>
    <w:rsid w:val="00971B95"/>
    <w:rsid w:val="00971F13"/>
    <w:rsid w:val="00972F03"/>
    <w:rsid w:val="00976640"/>
    <w:rsid w:val="0097681D"/>
    <w:rsid w:val="0098051C"/>
    <w:rsid w:val="00981652"/>
    <w:rsid w:val="00983BD1"/>
    <w:rsid w:val="00983C08"/>
    <w:rsid w:val="009842E5"/>
    <w:rsid w:val="00984798"/>
    <w:rsid w:val="00984EA5"/>
    <w:rsid w:val="00985F0A"/>
    <w:rsid w:val="00986AC8"/>
    <w:rsid w:val="009910BD"/>
    <w:rsid w:val="0099246B"/>
    <w:rsid w:val="00992C75"/>
    <w:rsid w:val="009930C5"/>
    <w:rsid w:val="009A2692"/>
    <w:rsid w:val="009A7AE2"/>
    <w:rsid w:val="009B082C"/>
    <w:rsid w:val="009B2048"/>
    <w:rsid w:val="009B50E7"/>
    <w:rsid w:val="009B63D5"/>
    <w:rsid w:val="009C12C4"/>
    <w:rsid w:val="009C4BAF"/>
    <w:rsid w:val="009C5050"/>
    <w:rsid w:val="009C54E7"/>
    <w:rsid w:val="009D1831"/>
    <w:rsid w:val="009D3259"/>
    <w:rsid w:val="009D529C"/>
    <w:rsid w:val="009D6A36"/>
    <w:rsid w:val="009D794F"/>
    <w:rsid w:val="009E02E7"/>
    <w:rsid w:val="009E17C1"/>
    <w:rsid w:val="009E17FC"/>
    <w:rsid w:val="009E1D32"/>
    <w:rsid w:val="009E6182"/>
    <w:rsid w:val="009E79A0"/>
    <w:rsid w:val="009F0242"/>
    <w:rsid w:val="009F2154"/>
    <w:rsid w:val="009F2838"/>
    <w:rsid w:val="009F3D01"/>
    <w:rsid w:val="009F3D3D"/>
    <w:rsid w:val="009F5CD8"/>
    <w:rsid w:val="009F72E4"/>
    <w:rsid w:val="00A00157"/>
    <w:rsid w:val="00A01281"/>
    <w:rsid w:val="00A0263B"/>
    <w:rsid w:val="00A02B6E"/>
    <w:rsid w:val="00A0311E"/>
    <w:rsid w:val="00A04C8B"/>
    <w:rsid w:val="00A05F40"/>
    <w:rsid w:val="00A06BF5"/>
    <w:rsid w:val="00A1072B"/>
    <w:rsid w:val="00A107ED"/>
    <w:rsid w:val="00A11ABB"/>
    <w:rsid w:val="00A135FE"/>
    <w:rsid w:val="00A1439D"/>
    <w:rsid w:val="00A217AF"/>
    <w:rsid w:val="00A24CA9"/>
    <w:rsid w:val="00A252B5"/>
    <w:rsid w:val="00A277EC"/>
    <w:rsid w:val="00A3002F"/>
    <w:rsid w:val="00A313A1"/>
    <w:rsid w:val="00A3159D"/>
    <w:rsid w:val="00A33B43"/>
    <w:rsid w:val="00A35375"/>
    <w:rsid w:val="00A360BF"/>
    <w:rsid w:val="00A36730"/>
    <w:rsid w:val="00A3682A"/>
    <w:rsid w:val="00A36E41"/>
    <w:rsid w:val="00A409A2"/>
    <w:rsid w:val="00A4211B"/>
    <w:rsid w:val="00A423BB"/>
    <w:rsid w:val="00A42ACF"/>
    <w:rsid w:val="00A42E93"/>
    <w:rsid w:val="00A43B7B"/>
    <w:rsid w:val="00A45086"/>
    <w:rsid w:val="00A45490"/>
    <w:rsid w:val="00A51DCF"/>
    <w:rsid w:val="00A51E6E"/>
    <w:rsid w:val="00A522B3"/>
    <w:rsid w:val="00A5352A"/>
    <w:rsid w:val="00A54CC7"/>
    <w:rsid w:val="00A54D50"/>
    <w:rsid w:val="00A60495"/>
    <w:rsid w:val="00A63F24"/>
    <w:rsid w:val="00A6711B"/>
    <w:rsid w:val="00A67DEA"/>
    <w:rsid w:val="00A701FF"/>
    <w:rsid w:val="00A70297"/>
    <w:rsid w:val="00A705DF"/>
    <w:rsid w:val="00A73580"/>
    <w:rsid w:val="00A75760"/>
    <w:rsid w:val="00A82937"/>
    <w:rsid w:val="00A86C76"/>
    <w:rsid w:val="00A9097C"/>
    <w:rsid w:val="00A91E2F"/>
    <w:rsid w:val="00A922B9"/>
    <w:rsid w:val="00A9377E"/>
    <w:rsid w:val="00A939C7"/>
    <w:rsid w:val="00A97048"/>
    <w:rsid w:val="00AA0533"/>
    <w:rsid w:val="00AA20FB"/>
    <w:rsid w:val="00AA3AAA"/>
    <w:rsid w:val="00AA5159"/>
    <w:rsid w:val="00AA6BE2"/>
    <w:rsid w:val="00AA7B90"/>
    <w:rsid w:val="00AB19FF"/>
    <w:rsid w:val="00AB22F2"/>
    <w:rsid w:val="00AB304A"/>
    <w:rsid w:val="00AB723A"/>
    <w:rsid w:val="00AB7AC2"/>
    <w:rsid w:val="00AB7DD5"/>
    <w:rsid w:val="00AC0164"/>
    <w:rsid w:val="00AC4509"/>
    <w:rsid w:val="00AC5565"/>
    <w:rsid w:val="00AC57DB"/>
    <w:rsid w:val="00AC748A"/>
    <w:rsid w:val="00AD0863"/>
    <w:rsid w:val="00AD0F0E"/>
    <w:rsid w:val="00AD1C6B"/>
    <w:rsid w:val="00AD4E82"/>
    <w:rsid w:val="00AD61BD"/>
    <w:rsid w:val="00AD7D10"/>
    <w:rsid w:val="00AE29B7"/>
    <w:rsid w:val="00AE2F1A"/>
    <w:rsid w:val="00AE3075"/>
    <w:rsid w:val="00AE3239"/>
    <w:rsid w:val="00AE3B98"/>
    <w:rsid w:val="00AE5400"/>
    <w:rsid w:val="00AE5832"/>
    <w:rsid w:val="00AE5981"/>
    <w:rsid w:val="00AE5C01"/>
    <w:rsid w:val="00AE6084"/>
    <w:rsid w:val="00AE7082"/>
    <w:rsid w:val="00AE7173"/>
    <w:rsid w:val="00AF03F8"/>
    <w:rsid w:val="00AF0E64"/>
    <w:rsid w:val="00AF158E"/>
    <w:rsid w:val="00AF22B6"/>
    <w:rsid w:val="00AF3E74"/>
    <w:rsid w:val="00AF43CF"/>
    <w:rsid w:val="00AF7166"/>
    <w:rsid w:val="00B00451"/>
    <w:rsid w:val="00B03EDD"/>
    <w:rsid w:val="00B047AC"/>
    <w:rsid w:val="00B05014"/>
    <w:rsid w:val="00B05D7A"/>
    <w:rsid w:val="00B06B7D"/>
    <w:rsid w:val="00B10CEE"/>
    <w:rsid w:val="00B1179E"/>
    <w:rsid w:val="00B12313"/>
    <w:rsid w:val="00B12B02"/>
    <w:rsid w:val="00B12ED6"/>
    <w:rsid w:val="00B12EDF"/>
    <w:rsid w:val="00B135AA"/>
    <w:rsid w:val="00B14B2E"/>
    <w:rsid w:val="00B15700"/>
    <w:rsid w:val="00B1695D"/>
    <w:rsid w:val="00B17B7F"/>
    <w:rsid w:val="00B22C62"/>
    <w:rsid w:val="00B22F61"/>
    <w:rsid w:val="00B2444D"/>
    <w:rsid w:val="00B24F28"/>
    <w:rsid w:val="00B256DA"/>
    <w:rsid w:val="00B26300"/>
    <w:rsid w:val="00B27CFD"/>
    <w:rsid w:val="00B301DA"/>
    <w:rsid w:val="00B310EA"/>
    <w:rsid w:val="00B32292"/>
    <w:rsid w:val="00B32CE0"/>
    <w:rsid w:val="00B3452D"/>
    <w:rsid w:val="00B355D4"/>
    <w:rsid w:val="00B3617E"/>
    <w:rsid w:val="00B403B8"/>
    <w:rsid w:val="00B40561"/>
    <w:rsid w:val="00B414B3"/>
    <w:rsid w:val="00B42EB1"/>
    <w:rsid w:val="00B43721"/>
    <w:rsid w:val="00B45137"/>
    <w:rsid w:val="00B45A84"/>
    <w:rsid w:val="00B507DC"/>
    <w:rsid w:val="00B520D5"/>
    <w:rsid w:val="00B53523"/>
    <w:rsid w:val="00B53DCE"/>
    <w:rsid w:val="00B572ED"/>
    <w:rsid w:val="00B624E3"/>
    <w:rsid w:val="00B62B12"/>
    <w:rsid w:val="00B62C0F"/>
    <w:rsid w:val="00B64312"/>
    <w:rsid w:val="00B651C1"/>
    <w:rsid w:val="00B6533F"/>
    <w:rsid w:val="00B65649"/>
    <w:rsid w:val="00B66D4A"/>
    <w:rsid w:val="00B67B67"/>
    <w:rsid w:val="00B71398"/>
    <w:rsid w:val="00B7208A"/>
    <w:rsid w:val="00B729B6"/>
    <w:rsid w:val="00B7765B"/>
    <w:rsid w:val="00B77F47"/>
    <w:rsid w:val="00B8010F"/>
    <w:rsid w:val="00B81B54"/>
    <w:rsid w:val="00B83120"/>
    <w:rsid w:val="00B8572D"/>
    <w:rsid w:val="00B85C4B"/>
    <w:rsid w:val="00B85F49"/>
    <w:rsid w:val="00B85FCD"/>
    <w:rsid w:val="00B8600C"/>
    <w:rsid w:val="00B86E1A"/>
    <w:rsid w:val="00B8701C"/>
    <w:rsid w:val="00B90603"/>
    <w:rsid w:val="00B91023"/>
    <w:rsid w:val="00B93049"/>
    <w:rsid w:val="00B96C5B"/>
    <w:rsid w:val="00B97A30"/>
    <w:rsid w:val="00B97BBF"/>
    <w:rsid w:val="00BA03C2"/>
    <w:rsid w:val="00BA3609"/>
    <w:rsid w:val="00BA36A8"/>
    <w:rsid w:val="00BA43A9"/>
    <w:rsid w:val="00BA655A"/>
    <w:rsid w:val="00BB01B5"/>
    <w:rsid w:val="00BB0709"/>
    <w:rsid w:val="00BB15F1"/>
    <w:rsid w:val="00BB2F7A"/>
    <w:rsid w:val="00BB4028"/>
    <w:rsid w:val="00BB4612"/>
    <w:rsid w:val="00BB76F0"/>
    <w:rsid w:val="00BC12E7"/>
    <w:rsid w:val="00BC16D3"/>
    <w:rsid w:val="00BC2F81"/>
    <w:rsid w:val="00BC34FA"/>
    <w:rsid w:val="00BC3793"/>
    <w:rsid w:val="00BC4CF4"/>
    <w:rsid w:val="00BC4D1B"/>
    <w:rsid w:val="00BC6C68"/>
    <w:rsid w:val="00BD01F4"/>
    <w:rsid w:val="00BD4A60"/>
    <w:rsid w:val="00BD4D48"/>
    <w:rsid w:val="00BD5284"/>
    <w:rsid w:val="00BD5619"/>
    <w:rsid w:val="00BD71A7"/>
    <w:rsid w:val="00BE062D"/>
    <w:rsid w:val="00BE0FA6"/>
    <w:rsid w:val="00BE112E"/>
    <w:rsid w:val="00BE25E9"/>
    <w:rsid w:val="00BE2C8D"/>
    <w:rsid w:val="00BE2DA5"/>
    <w:rsid w:val="00BE3E8C"/>
    <w:rsid w:val="00BE6A3B"/>
    <w:rsid w:val="00BF0811"/>
    <w:rsid w:val="00BF0940"/>
    <w:rsid w:val="00BF51D6"/>
    <w:rsid w:val="00BF586C"/>
    <w:rsid w:val="00BF6790"/>
    <w:rsid w:val="00C00CFE"/>
    <w:rsid w:val="00C01731"/>
    <w:rsid w:val="00C06023"/>
    <w:rsid w:val="00C07B90"/>
    <w:rsid w:val="00C1134B"/>
    <w:rsid w:val="00C11507"/>
    <w:rsid w:val="00C116A4"/>
    <w:rsid w:val="00C12548"/>
    <w:rsid w:val="00C135B8"/>
    <w:rsid w:val="00C148DD"/>
    <w:rsid w:val="00C14FD2"/>
    <w:rsid w:val="00C1509C"/>
    <w:rsid w:val="00C1593C"/>
    <w:rsid w:val="00C160B0"/>
    <w:rsid w:val="00C16C0E"/>
    <w:rsid w:val="00C228B1"/>
    <w:rsid w:val="00C235D5"/>
    <w:rsid w:val="00C27BED"/>
    <w:rsid w:val="00C3020F"/>
    <w:rsid w:val="00C30457"/>
    <w:rsid w:val="00C376F9"/>
    <w:rsid w:val="00C37CEF"/>
    <w:rsid w:val="00C4142F"/>
    <w:rsid w:val="00C41BC5"/>
    <w:rsid w:val="00C4382C"/>
    <w:rsid w:val="00C43F5A"/>
    <w:rsid w:val="00C467CD"/>
    <w:rsid w:val="00C46959"/>
    <w:rsid w:val="00C4776F"/>
    <w:rsid w:val="00C50EDC"/>
    <w:rsid w:val="00C512EF"/>
    <w:rsid w:val="00C51734"/>
    <w:rsid w:val="00C51856"/>
    <w:rsid w:val="00C51DB4"/>
    <w:rsid w:val="00C52AB8"/>
    <w:rsid w:val="00C53DE1"/>
    <w:rsid w:val="00C54E3E"/>
    <w:rsid w:val="00C55C15"/>
    <w:rsid w:val="00C55D48"/>
    <w:rsid w:val="00C55E8F"/>
    <w:rsid w:val="00C56E76"/>
    <w:rsid w:val="00C605FB"/>
    <w:rsid w:val="00C60EA8"/>
    <w:rsid w:val="00C6206C"/>
    <w:rsid w:val="00C62183"/>
    <w:rsid w:val="00C622E5"/>
    <w:rsid w:val="00C6356C"/>
    <w:rsid w:val="00C65084"/>
    <w:rsid w:val="00C6537C"/>
    <w:rsid w:val="00C657F1"/>
    <w:rsid w:val="00C6598B"/>
    <w:rsid w:val="00C66231"/>
    <w:rsid w:val="00C66301"/>
    <w:rsid w:val="00C71D68"/>
    <w:rsid w:val="00C73818"/>
    <w:rsid w:val="00C73D05"/>
    <w:rsid w:val="00C73EB2"/>
    <w:rsid w:val="00C75E95"/>
    <w:rsid w:val="00C7660D"/>
    <w:rsid w:val="00C775AE"/>
    <w:rsid w:val="00C8000A"/>
    <w:rsid w:val="00C82CD7"/>
    <w:rsid w:val="00C83011"/>
    <w:rsid w:val="00C83791"/>
    <w:rsid w:val="00C855BE"/>
    <w:rsid w:val="00C85EB3"/>
    <w:rsid w:val="00C8726A"/>
    <w:rsid w:val="00C87333"/>
    <w:rsid w:val="00C933A9"/>
    <w:rsid w:val="00C93A24"/>
    <w:rsid w:val="00C94706"/>
    <w:rsid w:val="00C9495F"/>
    <w:rsid w:val="00C9579E"/>
    <w:rsid w:val="00C96AEC"/>
    <w:rsid w:val="00C979DB"/>
    <w:rsid w:val="00CA0656"/>
    <w:rsid w:val="00CA1573"/>
    <w:rsid w:val="00CA1C14"/>
    <w:rsid w:val="00CA4BA6"/>
    <w:rsid w:val="00CA6A6F"/>
    <w:rsid w:val="00CA6ED7"/>
    <w:rsid w:val="00CB03D2"/>
    <w:rsid w:val="00CB0DE4"/>
    <w:rsid w:val="00CB1812"/>
    <w:rsid w:val="00CB420C"/>
    <w:rsid w:val="00CB4285"/>
    <w:rsid w:val="00CB52D5"/>
    <w:rsid w:val="00CB6562"/>
    <w:rsid w:val="00CB7709"/>
    <w:rsid w:val="00CC4B71"/>
    <w:rsid w:val="00CC5EE0"/>
    <w:rsid w:val="00CC7F55"/>
    <w:rsid w:val="00CD00A7"/>
    <w:rsid w:val="00CD19D6"/>
    <w:rsid w:val="00CD23B6"/>
    <w:rsid w:val="00CD24CF"/>
    <w:rsid w:val="00CD446C"/>
    <w:rsid w:val="00CD4C00"/>
    <w:rsid w:val="00CD54D3"/>
    <w:rsid w:val="00CD628C"/>
    <w:rsid w:val="00CD63ED"/>
    <w:rsid w:val="00CD65A1"/>
    <w:rsid w:val="00CD6ABD"/>
    <w:rsid w:val="00CD7BB4"/>
    <w:rsid w:val="00CE1C47"/>
    <w:rsid w:val="00CE1D5A"/>
    <w:rsid w:val="00CE2ADC"/>
    <w:rsid w:val="00CE37B2"/>
    <w:rsid w:val="00CE4032"/>
    <w:rsid w:val="00CE48BD"/>
    <w:rsid w:val="00CE4EC4"/>
    <w:rsid w:val="00CE4F3B"/>
    <w:rsid w:val="00CE4FBC"/>
    <w:rsid w:val="00CE6762"/>
    <w:rsid w:val="00CE75CF"/>
    <w:rsid w:val="00CF0612"/>
    <w:rsid w:val="00CF12FA"/>
    <w:rsid w:val="00CF133D"/>
    <w:rsid w:val="00CF155C"/>
    <w:rsid w:val="00CF2740"/>
    <w:rsid w:val="00CF355D"/>
    <w:rsid w:val="00CF3B76"/>
    <w:rsid w:val="00CF4C96"/>
    <w:rsid w:val="00CF66CE"/>
    <w:rsid w:val="00D01CFB"/>
    <w:rsid w:val="00D02110"/>
    <w:rsid w:val="00D0289B"/>
    <w:rsid w:val="00D0364E"/>
    <w:rsid w:val="00D039A1"/>
    <w:rsid w:val="00D03AD6"/>
    <w:rsid w:val="00D04CD0"/>
    <w:rsid w:val="00D04D90"/>
    <w:rsid w:val="00D07C52"/>
    <w:rsid w:val="00D10561"/>
    <w:rsid w:val="00D105E7"/>
    <w:rsid w:val="00D109BC"/>
    <w:rsid w:val="00D11F4C"/>
    <w:rsid w:val="00D1305B"/>
    <w:rsid w:val="00D17CAA"/>
    <w:rsid w:val="00D20298"/>
    <w:rsid w:val="00D20373"/>
    <w:rsid w:val="00D22711"/>
    <w:rsid w:val="00D2509D"/>
    <w:rsid w:val="00D250AA"/>
    <w:rsid w:val="00D26786"/>
    <w:rsid w:val="00D308FD"/>
    <w:rsid w:val="00D30D1E"/>
    <w:rsid w:val="00D316DA"/>
    <w:rsid w:val="00D3178F"/>
    <w:rsid w:val="00D36D10"/>
    <w:rsid w:val="00D3724B"/>
    <w:rsid w:val="00D403BD"/>
    <w:rsid w:val="00D40C04"/>
    <w:rsid w:val="00D41365"/>
    <w:rsid w:val="00D4136C"/>
    <w:rsid w:val="00D41744"/>
    <w:rsid w:val="00D4175F"/>
    <w:rsid w:val="00D423E7"/>
    <w:rsid w:val="00D44C00"/>
    <w:rsid w:val="00D44E28"/>
    <w:rsid w:val="00D44F28"/>
    <w:rsid w:val="00D451D2"/>
    <w:rsid w:val="00D455A6"/>
    <w:rsid w:val="00D45B56"/>
    <w:rsid w:val="00D47751"/>
    <w:rsid w:val="00D479B7"/>
    <w:rsid w:val="00D51ABC"/>
    <w:rsid w:val="00D51E5B"/>
    <w:rsid w:val="00D5267B"/>
    <w:rsid w:val="00D5399B"/>
    <w:rsid w:val="00D561AC"/>
    <w:rsid w:val="00D56211"/>
    <w:rsid w:val="00D57B50"/>
    <w:rsid w:val="00D6124D"/>
    <w:rsid w:val="00D615F8"/>
    <w:rsid w:val="00D619B2"/>
    <w:rsid w:val="00D631D7"/>
    <w:rsid w:val="00D63421"/>
    <w:rsid w:val="00D65360"/>
    <w:rsid w:val="00D67035"/>
    <w:rsid w:val="00D67B5C"/>
    <w:rsid w:val="00D71890"/>
    <w:rsid w:val="00D71906"/>
    <w:rsid w:val="00D72F36"/>
    <w:rsid w:val="00D733EB"/>
    <w:rsid w:val="00D75AC0"/>
    <w:rsid w:val="00D75D43"/>
    <w:rsid w:val="00D7659C"/>
    <w:rsid w:val="00D76ED2"/>
    <w:rsid w:val="00D80DDD"/>
    <w:rsid w:val="00D8213E"/>
    <w:rsid w:val="00D82E26"/>
    <w:rsid w:val="00D83DE7"/>
    <w:rsid w:val="00D8511B"/>
    <w:rsid w:val="00D851F2"/>
    <w:rsid w:val="00D85B96"/>
    <w:rsid w:val="00D85CAE"/>
    <w:rsid w:val="00D86B50"/>
    <w:rsid w:val="00D91B15"/>
    <w:rsid w:val="00D9211F"/>
    <w:rsid w:val="00D9376F"/>
    <w:rsid w:val="00D96BA9"/>
    <w:rsid w:val="00DA0BBE"/>
    <w:rsid w:val="00DA0D25"/>
    <w:rsid w:val="00DA0E4E"/>
    <w:rsid w:val="00DA1A78"/>
    <w:rsid w:val="00DA271F"/>
    <w:rsid w:val="00DA3075"/>
    <w:rsid w:val="00DA5C24"/>
    <w:rsid w:val="00DA7E09"/>
    <w:rsid w:val="00DA7EDC"/>
    <w:rsid w:val="00DB0C27"/>
    <w:rsid w:val="00DB2116"/>
    <w:rsid w:val="00DB3694"/>
    <w:rsid w:val="00DB3740"/>
    <w:rsid w:val="00DB3A42"/>
    <w:rsid w:val="00DB4217"/>
    <w:rsid w:val="00DB46D3"/>
    <w:rsid w:val="00DB6CD7"/>
    <w:rsid w:val="00DB763C"/>
    <w:rsid w:val="00DC01F2"/>
    <w:rsid w:val="00DC0DBD"/>
    <w:rsid w:val="00DC1B8F"/>
    <w:rsid w:val="00DC3022"/>
    <w:rsid w:val="00DC3F30"/>
    <w:rsid w:val="00DC484F"/>
    <w:rsid w:val="00DC4A3D"/>
    <w:rsid w:val="00DC57C7"/>
    <w:rsid w:val="00DC5FD4"/>
    <w:rsid w:val="00DC7653"/>
    <w:rsid w:val="00DD044B"/>
    <w:rsid w:val="00DD0750"/>
    <w:rsid w:val="00DD4877"/>
    <w:rsid w:val="00DD5FF6"/>
    <w:rsid w:val="00DD61BE"/>
    <w:rsid w:val="00DD6B8D"/>
    <w:rsid w:val="00DD7045"/>
    <w:rsid w:val="00DD7F92"/>
    <w:rsid w:val="00DE1914"/>
    <w:rsid w:val="00DE2623"/>
    <w:rsid w:val="00DE2BD8"/>
    <w:rsid w:val="00DE3B55"/>
    <w:rsid w:val="00DE6A04"/>
    <w:rsid w:val="00DE6C9F"/>
    <w:rsid w:val="00DE6D3B"/>
    <w:rsid w:val="00DE7984"/>
    <w:rsid w:val="00DF13DE"/>
    <w:rsid w:val="00DF612D"/>
    <w:rsid w:val="00DF7C5C"/>
    <w:rsid w:val="00E004D8"/>
    <w:rsid w:val="00E02E96"/>
    <w:rsid w:val="00E0336D"/>
    <w:rsid w:val="00E036D7"/>
    <w:rsid w:val="00E04072"/>
    <w:rsid w:val="00E055DF"/>
    <w:rsid w:val="00E07096"/>
    <w:rsid w:val="00E1089F"/>
    <w:rsid w:val="00E10B66"/>
    <w:rsid w:val="00E129C2"/>
    <w:rsid w:val="00E13B47"/>
    <w:rsid w:val="00E14246"/>
    <w:rsid w:val="00E14EF3"/>
    <w:rsid w:val="00E20381"/>
    <w:rsid w:val="00E2188F"/>
    <w:rsid w:val="00E22DC8"/>
    <w:rsid w:val="00E238C3"/>
    <w:rsid w:val="00E23CC2"/>
    <w:rsid w:val="00E262B5"/>
    <w:rsid w:val="00E26B4C"/>
    <w:rsid w:val="00E26CFB"/>
    <w:rsid w:val="00E32301"/>
    <w:rsid w:val="00E333A6"/>
    <w:rsid w:val="00E360A8"/>
    <w:rsid w:val="00E3709F"/>
    <w:rsid w:val="00E370D1"/>
    <w:rsid w:val="00E37CDA"/>
    <w:rsid w:val="00E37D6A"/>
    <w:rsid w:val="00E40D35"/>
    <w:rsid w:val="00E41023"/>
    <w:rsid w:val="00E42F1A"/>
    <w:rsid w:val="00E431B2"/>
    <w:rsid w:val="00E45523"/>
    <w:rsid w:val="00E46929"/>
    <w:rsid w:val="00E46CB6"/>
    <w:rsid w:val="00E47C5C"/>
    <w:rsid w:val="00E5030F"/>
    <w:rsid w:val="00E50D18"/>
    <w:rsid w:val="00E529C9"/>
    <w:rsid w:val="00E53650"/>
    <w:rsid w:val="00E5575B"/>
    <w:rsid w:val="00E56B9A"/>
    <w:rsid w:val="00E56D15"/>
    <w:rsid w:val="00E573C9"/>
    <w:rsid w:val="00E60A9F"/>
    <w:rsid w:val="00E61891"/>
    <w:rsid w:val="00E62130"/>
    <w:rsid w:val="00E62E04"/>
    <w:rsid w:val="00E62E33"/>
    <w:rsid w:val="00E642EB"/>
    <w:rsid w:val="00E6601F"/>
    <w:rsid w:val="00E662CA"/>
    <w:rsid w:val="00E66C25"/>
    <w:rsid w:val="00E6731A"/>
    <w:rsid w:val="00E6771A"/>
    <w:rsid w:val="00E70256"/>
    <w:rsid w:val="00E70BF9"/>
    <w:rsid w:val="00E73DB3"/>
    <w:rsid w:val="00E77400"/>
    <w:rsid w:val="00E801AE"/>
    <w:rsid w:val="00E80D0E"/>
    <w:rsid w:val="00E80EED"/>
    <w:rsid w:val="00E81211"/>
    <w:rsid w:val="00E818F4"/>
    <w:rsid w:val="00E8204D"/>
    <w:rsid w:val="00E8226E"/>
    <w:rsid w:val="00E85100"/>
    <w:rsid w:val="00E858DF"/>
    <w:rsid w:val="00E8613D"/>
    <w:rsid w:val="00E8663B"/>
    <w:rsid w:val="00E86D71"/>
    <w:rsid w:val="00E908AA"/>
    <w:rsid w:val="00E94CC6"/>
    <w:rsid w:val="00E95FD3"/>
    <w:rsid w:val="00EB0206"/>
    <w:rsid w:val="00EB0F81"/>
    <w:rsid w:val="00EB112A"/>
    <w:rsid w:val="00EB16C6"/>
    <w:rsid w:val="00EB2796"/>
    <w:rsid w:val="00EB5DEC"/>
    <w:rsid w:val="00EB6DB5"/>
    <w:rsid w:val="00EC02D7"/>
    <w:rsid w:val="00EC079E"/>
    <w:rsid w:val="00EC2004"/>
    <w:rsid w:val="00EC3A9C"/>
    <w:rsid w:val="00EC4569"/>
    <w:rsid w:val="00EC6AA8"/>
    <w:rsid w:val="00EC6D3C"/>
    <w:rsid w:val="00EC6ECF"/>
    <w:rsid w:val="00EC7E0E"/>
    <w:rsid w:val="00ED0F4A"/>
    <w:rsid w:val="00ED153D"/>
    <w:rsid w:val="00ED30EF"/>
    <w:rsid w:val="00ED4778"/>
    <w:rsid w:val="00ED6BB7"/>
    <w:rsid w:val="00ED6C37"/>
    <w:rsid w:val="00ED6CB6"/>
    <w:rsid w:val="00ED6F6F"/>
    <w:rsid w:val="00ED7B9F"/>
    <w:rsid w:val="00ED7C9F"/>
    <w:rsid w:val="00EE006C"/>
    <w:rsid w:val="00EE16FA"/>
    <w:rsid w:val="00EE1A74"/>
    <w:rsid w:val="00EE1B26"/>
    <w:rsid w:val="00EE2514"/>
    <w:rsid w:val="00EE2735"/>
    <w:rsid w:val="00EE2D23"/>
    <w:rsid w:val="00EE3778"/>
    <w:rsid w:val="00EE3980"/>
    <w:rsid w:val="00EE4B60"/>
    <w:rsid w:val="00EE6312"/>
    <w:rsid w:val="00EE6EF5"/>
    <w:rsid w:val="00EF0DD7"/>
    <w:rsid w:val="00EF1381"/>
    <w:rsid w:val="00EF2059"/>
    <w:rsid w:val="00EF216B"/>
    <w:rsid w:val="00EF21DB"/>
    <w:rsid w:val="00EF3087"/>
    <w:rsid w:val="00EF3F5C"/>
    <w:rsid w:val="00EF63DF"/>
    <w:rsid w:val="00EF765D"/>
    <w:rsid w:val="00F015B1"/>
    <w:rsid w:val="00F02DFE"/>
    <w:rsid w:val="00F03FED"/>
    <w:rsid w:val="00F049F4"/>
    <w:rsid w:val="00F05A17"/>
    <w:rsid w:val="00F120F3"/>
    <w:rsid w:val="00F12970"/>
    <w:rsid w:val="00F152B6"/>
    <w:rsid w:val="00F1755D"/>
    <w:rsid w:val="00F17EFB"/>
    <w:rsid w:val="00F23C1C"/>
    <w:rsid w:val="00F26349"/>
    <w:rsid w:val="00F27479"/>
    <w:rsid w:val="00F27654"/>
    <w:rsid w:val="00F27878"/>
    <w:rsid w:val="00F31068"/>
    <w:rsid w:val="00F32120"/>
    <w:rsid w:val="00F37C53"/>
    <w:rsid w:val="00F41E71"/>
    <w:rsid w:val="00F41FC4"/>
    <w:rsid w:val="00F4220F"/>
    <w:rsid w:val="00F42401"/>
    <w:rsid w:val="00F45D71"/>
    <w:rsid w:val="00F45EDE"/>
    <w:rsid w:val="00F47F6B"/>
    <w:rsid w:val="00F50119"/>
    <w:rsid w:val="00F54387"/>
    <w:rsid w:val="00F54DA8"/>
    <w:rsid w:val="00F556C2"/>
    <w:rsid w:val="00F56EBA"/>
    <w:rsid w:val="00F60C49"/>
    <w:rsid w:val="00F61E77"/>
    <w:rsid w:val="00F62B3A"/>
    <w:rsid w:val="00F638A3"/>
    <w:rsid w:val="00F638B6"/>
    <w:rsid w:val="00F63BD2"/>
    <w:rsid w:val="00F64781"/>
    <w:rsid w:val="00F64963"/>
    <w:rsid w:val="00F65B7C"/>
    <w:rsid w:val="00F65F46"/>
    <w:rsid w:val="00F67477"/>
    <w:rsid w:val="00F67686"/>
    <w:rsid w:val="00F71E2A"/>
    <w:rsid w:val="00F725F8"/>
    <w:rsid w:val="00F72C6B"/>
    <w:rsid w:val="00F75E6F"/>
    <w:rsid w:val="00F7664D"/>
    <w:rsid w:val="00F77CCB"/>
    <w:rsid w:val="00F80D9A"/>
    <w:rsid w:val="00F81B4A"/>
    <w:rsid w:val="00F82052"/>
    <w:rsid w:val="00F8294A"/>
    <w:rsid w:val="00F83B39"/>
    <w:rsid w:val="00F84853"/>
    <w:rsid w:val="00F849BE"/>
    <w:rsid w:val="00F87F8E"/>
    <w:rsid w:val="00F910A4"/>
    <w:rsid w:val="00F91285"/>
    <w:rsid w:val="00F92818"/>
    <w:rsid w:val="00F9451D"/>
    <w:rsid w:val="00F94573"/>
    <w:rsid w:val="00F95AA8"/>
    <w:rsid w:val="00F97B19"/>
    <w:rsid w:val="00FA0FBA"/>
    <w:rsid w:val="00FA4C7C"/>
    <w:rsid w:val="00FA4E91"/>
    <w:rsid w:val="00FA6576"/>
    <w:rsid w:val="00FB15C8"/>
    <w:rsid w:val="00FB19AF"/>
    <w:rsid w:val="00FB24C4"/>
    <w:rsid w:val="00FB32F0"/>
    <w:rsid w:val="00FB4CBC"/>
    <w:rsid w:val="00FB6408"/>
    <w:rsid w:val="00FB7A09"/>
    <w:rsid w:val="00FC0FD6"/>
    <w:rsid w:val="00FC2F06"/>
    <w:rsid w:val="00FC48E3"/>
    <w:rsid w:val="00FC4A58"/>
    <w:rsid w:val="00FC530E"/>
    <w:rsid w:val="00FC5A0E"/>
    <w:rsid w:val="00FC6CF9"/>
    <w:rsid w:val="00FD122C"/>
    <w:rsid w:val="00FD1556"/>
    <w:rsid w:val="00FD1F84"/>
    <w:rsid w:val="00FD3002"/>
    <w:rsid w:val="00FD52F2"/>
    <w:rsid w:val="00FD58DD"/>
    <w:rsid w:val="00FD7FC9"/>
    <w:rsid w:val="00FE2878"/>
    <w:rsid w:val="00FE30BB"/>
    <w:rsid w:val="00FE520F"/>
    <w:rsid w:val="00FE6443"/>
    <w:rsid w:val="00FE6486"/>
    <w:rsid w:val="00FE653E"/>
    <w:rsid w:val="00FE68FB"/>
    <w:rsid w:val="00FF168A"/>
    <w:rsid w:val="00FF4500"/>
    <w:rsid w:val="00FF48A9"/>
    <w:rsid w:val="00FF6068"/>
    <w:rsid w:val="00FF7FE5"/>
    <w:rsid w:val="010C6D81"/>
    <w:rsid w:val="0135E2B8"/>
    <w:rsid w:val="013E2A69"/>
    <w:rsid w:val="01474A01"/>
    <w:rsid w:val="015E84B8"/>
    <w:rsid w:val="015F8BCB"/>
    <w:rsid w:val="01A6F124"/>
    <w:rsid w:val="01B83E36"/>
    <w:rsid w:val="01E7ED56"/>
    <w:rsid w:val="01FD3228"/>
    <w:rsid w:val="022C7335"/>
    <w:rsid w:val="025414B8"/>
    <w:rsid w:val="02746E3E"/>
    <w:rsid w:val="02782081"/>
    <w:rsid w:val="028A6086"/>
    <w:rsid w:val="02F0FFB3"/>
    <w:rsid w:val="032352C3"/>
    <w:rsid w:val="03249B08"/>
    <w:rsid w:val="033653AE"/>
    <w:rsid w:val="0356A6E3"/>
    <w:rsid w:val="035AC593"/>
    <w:rsid w:val="03A26935"/>
    <w:rsid w:val="03A67F93"/>
    <w:rsid w:val="03F1C405"/>
    <w:rsid w:val="04337A47"/>
    <w:rsid w:val="04355CFE"/>
    <w:rsid w:val="045ECDDD"/>
    <w:rsid w:val="04962C1F"/>
    <w:rsid w:val="04AF37BA"/>
    <w:rsid w:val="04E2929B"/>
    <w:rsid w:val="04E2D004"/>
    <w:rsid w:val="053BC684"/>
    <w:rsid w:val="057531AC"/>
    <w:rsid w:val="05C61820"/>
    <w:rsid w:val="05E8550D"/>
    <w:rsid w:val="05EB73D2"/>
    <w:rsid w:val="06348D31"/>
    <w:rsid w:val="0638D495"/>
    <w:rsid w:val="064319E4"/>
    <w:rsid w:val="064F0A97"/>
    <w:rsid w:val="065AF022"/>
    <w:rsid w:val="066555C9"/>
    <w:rsid w:val="067250F5"/>
    <w:rsid w:val="068A0E2D"/>
    <w:rsid w:val="0699A85E"/>
    <w:rsid w:val="06E6D94D"/>
    <w:rsid w:val="07243CC5"/>
    <w:rsid w:val="072766B2"/>
    <w:rsid w:val="0777F203"/>
    <w:rsid w:val="078FB104"/>
    <w:rsid w:val="079686CC"/>
    <w:rsid w:val="07A817AE"/>
    <w:rsid w:val="080C5D1D"/>
    <w:rsid w:val="081D99F6"/>
    <w:rsid w:val="082CCEFA"/>
    <w:rsid w:val="08404073"/>
    <w:rsid w:val="0840BB14"/>
    <w:rsid w:val="08505E95"/>
    <w:rsid w:val="085A24ED"/>
    <w:rsid w:val="0878B655"/>
    <w:rsid w:val="08807A27"/>
    <w:rsid w:val="08BC5879"/>
    <w:rsid w:val="08C5F4D9"/>
    <w:rsid w:val="091B0FDC"/>
    <w:rsid w:val="0967CFC3"/>
    <w:rsid w:val="09825958"/>
    <w:rsid w:val="0994363F"/>
    <w:rsid w:val="099CDE5E"/>
    <w:rsid w:val="09B51FF6"/>
    <w:rsid w:val="09CF6B86"/>
    <w:rsid w:val="09D5ACF5"/>
    <w:rsid w:val="09ED45DD"/>
    <w:rsid w:val="0A3269D8"/>
    <w:rsid w:val="0A4A2580"/>
    <w:rsid w:val="0A59EFE1"/>
    <w:rsid w:val="0A763178"/>
    <w:rsid w:val="0A8149F1"/>
    <w:rsid w:val="0AA8411C"/>
    <w:rsid w:val="0ACFD9E6"/>
    <w:rsid w:val="0AF5C663"/>
    <w:rsid w:val="0AF8D73C"/>
    <w:rsid w:val="0AFF08F2"/>
    <w:rsid w:val="0B0FAC51"/>
    <w:rsid w:val="0B3CB737"/>
    <w:rsid w:val="0BC0242B"/>
    <w:rsid w:val="0C14BC29"/>
    <w:rsid w:val="0CFAF95A"/>
    <w:rsid w:val="0D0EADD5"/>
    <w:rsid w:val="0D422930"/>
    <w:rsid w:val="0D7BD1F5"/>
    <w:rsid w:val="0DECED68"/>
    <w:rsid w:val="0E437824"/>
    <w:rsid w:val="0E4E0BA9"/>
    <w:rsid w:val="0E76690A"/>
    <w:rsid w:val="0EDE527B"/>
    <w:rsid w:val="0EEF0F02"/>
    <w:rsid w:val="0EFC4BF2"/>
    <w:rsid w:val="100377C3"/>
    <w:rsid w:val="100BD6E6"/>
    <w:rsid w:val="10185F8E"/>
    <w:rsid w:val="1072A955"/>
    <w:rsid w:val="10E9FA32"/>
    <w:rsid w:val="11310E3C"/>
    <w:rsid w:val="113A1C22"/>
    <w:rsid w:val="1169389F"/>
    <w:rsid w:val="118856C5"/>
    <w:rsid w:val="11DFCFA8"/>
    <w:rsid w:val="12016E73"/>
    <w:rsid w:val="12998827"/>
    <w:rsid w:val="12CE1ABA"/>
    <w:rsid w:val="12D01DF8"/>
    <w:rsid w:val="12D46681"/>
    <w:rsid w:val="12E35030"/>
    <w:rsid w:val="12EA1536"/>
    <w:rsid w:val="12FC2D7E"/>
    <w:rsid w:val="131DE362"/>
    <w:rsid w:val="13516211"/>
    <w:rsid w:val="1368DA18"/>
    <w:rsid w:val="13A75F41"/>
    <w:rsid w:val="13C6C138"/>
    <w:rsid w:val="13CCFC66"/>
    <w:rsid w:val="13D36FFE"/>
    <w:rsid w:val="13D9DB56"/>
    <w:rsid w:val="13EB840A"/>
    <w:rsid w:val="13EED9BF"/>
    <w:rsid w:val="13F8B2CB"/>
    <w:rsid w:val="147036E2"/>
    <w:rsid w:val="148FE489"/>
    <w:rsid w:val="14C680D5"/>
    <w:rsid w:val="14D54AB7"/>
    <w:rsid w:val="14EC5D91"/>
    <w:rsid w:val="14F0D472"/>
    <w:rsid w:val="150128DB"/>
    <w:rsid w:val="15218698"/>
    <w:rsid w:val="1523B4A7"/>
    <w:rsid w:val="15281D05"/>
    <w:rsid w:val="153FAA6E"/>
    <w:rsid w:val="15497A85"/>
    <w:rsid w:val="1587C87D"/>
    <w:rsid w:val="159B8E3C"/>
    <w:rsid w:val="15BB7523"/>
    <w:rsid w:val="16531FAF"/>
    <w:rsid w:val="16858F2B"/>
    <w:rsid w:val="16886B5B"/>
    <w:rsid w:val="16CC5E74"/>
    <w:rsid w:val="16EC8CB4"/>
    <w:rsid w:val="1725A47B"/>
    <w:rsid w:val="172FCCB5"/>
    <w:rsid w:val="173D0670"/>
    <w:rsid w:val="17AABF67"/>
    <w:rsid w:val="1834AD45"/>
    <w:rsid w:val="18715F9C"/>
    <w:rsid w:val="18C460AD"/>
    <w:rsid w:val="18D5193C"/>
    <w:rsid w:val="191C45E6"/>
    <w:rsid w:val="196F1DAD"/>
    <w:rsid w:val="19835443"/>
    <w:rsid w:val="1A5C3E86"/>
    <w:rsid w:val="1A66B44C"/>
    <w:rsid w:val="1AA41149"/>
    <w:rsid w:val="1AD4617A"/>
    <w:rsid w:val="1AE88299"/>
    <w:rsid w:val="1B02838A"/>
    <w:rsid w:val="1B3BB91D"/>
    <w:rsid w:val="1BC443B5"/>
    <w:rsid w:val="1BFF8C98"/>
    <w:rsid w:val="1C404384"/>
    <w:rsid w:val="1C548C0C"/>
    <w:rsid w:val="1C73296B"/>
    <w:rsid w:val="1C9292FB"/>
    <w:rsid w:val="1C9B1A42"/>
    <w:rsid w:val="1D6438E8"/>
    <w:rsid w:val="1D98D031"/>
    <w:rsid w:val="1DC16F00"/>
    <w:rsid w:val="1DC48DDB"/>
    <w:rsid w:val="1DE7A4FA"/>
    <w:rsid w:val="1E1BDC83"/>
    <w:rsid w:val="1E2FF687"/>
    <w:rsid w:val="1E9D6506"/>
    <w:rsid w:val="1EC3B81B"/>
    <w:rsid w:val="1ED10A22"/>
    <w:rsid w:val="1F30D706"/>
    <w:rsid w:val="1F994FEB"/>
    <w:rsid w:val="1FBA04D2"/>
    <w:rsid w:val="20109699"/>
    <w:rsid w:val="20129F3B"/>
    <w:rsid w:val="202BA84D"/>
    <w:rsid w:val="20350F1D"/>
    <w:rsid w:val="205FA465"/>
    <w:rsid w:val="20694D58"/>
    <w:rsid w:val="207317A2"/>
    <w:rsid w:val="20BE269E"/>
    <w:rsid w:val="20C984CF"/>
    <w:rsid w:val="20E90704"/>
    <w:rsid w:val="21017646"/>
    <w:rsid w:val="2120C049"/>
    <w:rsid w:val="213E7B32"/>
    <w:rsid w:val="215B7A62"/>
    <w:rsid w:val="21739810"/>
    <w:rsid w:val="21CA0524"/>
    <w:rsid w:val="2209A8EF"/>
    <w:rsid w:val="22203E1D"/>
    <w:rsid w:val="2230967C"/>
    <w:rsid w:val="22526486"/>
    <w:rsid w:val="2256F537"/>
    <w:rsid w:val="228500BC"/>
    <w:rsid w:val="22EA78DC"/>
    <w:rsid w:val="22F74AC3"/>
    <w:rsid w:val="23658924"/>
    <w:rsid w:val="23A3888D"/>
    <w:rsid w:val="23F5C760"/>
    <w:rsid w:val="246D95EF"/>
    <w:rsid w:val="248756CB"/>
    <w:rsid w:val="2495389E"/>
    <w:rsid w:val="249EB8C0"/>
    <w:rsid w:val="24D571CB"/>
    <w:rsid w:val="25197EA9"/>
    <w:rsid w:val="2525CBEA"/>
    <w:rsid w:val="252ADA43"/>
    <w:rsid w:val="25412158"/>
    <w:rsid w:val="2593CE23"/>
    <w:rsid w:val="25A4B0A7"/>
    <w:rsid w:val="25AADC09"/>
    <w:rsid w:val="25D2830A"/>
    <w:rsid w:val="261936E8"/>
    <w:rsid w:val="26209776"/>
    <w:rsid w:val="26798FE0"/>
    <w:rsid w:val="269BF3DC"/>
    <w:rsid w:val="26C5404D"/>
    <w:rsid w:val="26C63AC9"/>
    <w:rsid w:val="26D0DDF3"/>
    <w:rsid w:val="26E61E1D"/>
    <w:rsid w:val="2722AB7B"/>
    <w:rsid w:val="27342834"/>
    <w:rsid w:val="2746B9D8"/>
    <w:rsid w:val="275DE1E2"/>
    <w:rsid w:val="277ACA1B"/>
    <w:rsid w:val="277B4A32"/>
    <w:rsid w:val="278DEEEB"/>
    <w:rsid w:val="279C39DE"/>
    <w:rsid w:val="27A98ED1"/>
    <w:rsid w:val="27F07DFE"/>
    <w:rsid w:val="27FEFC3D"/>
    <w:rsid w:val="28239FA1"/>
    <w:rsid w:val="28415D87"/>
    <w:rsid w:val="28876A3E"/>
    <w:rsid w:val="28A17FA9"/>
    <w:rsid w:val="28B896A0"/>
    <w:rsid w:val="28DCF9F8"/>
    <w:rsid w:val="29171A93"/>
    <w:rsid w:val="291CA1A3"/>
    <w:rsid w:val="2988E4D8"/>
    <w:rsid w:val="298EB6D7"/>
    <w:rsid w:val="29D94C7D"/>
    <w:rsid w:val="29DAEAAC"/>
    <w:rsid w:val="2A0322D1"/>
    <w:rsid w:val="2B2ED758"/>
    <w:rsid w:val="2B4B135D"/>
    <w:rsid w:val="2B6434A0"/>
    <w:rsid w:val="2B673B67"/>
    <w:rsid w:val="2B6AF31D"/>
    <w:rsid w:val="2BBD4DBD"/>
    <w:rsid w:val="2BC39FE6"/>
    <w:rsid w:val="2BD0BC03"/>
    <w:rsid w:val="2BEBC49E"/>
    <w:rsid w:val="2C39DCB9"/>
    <w:rsid w:val="2C6876DB"/>
    <w:rsid w:val="2C89C75A"/>
    <w:rsid w:val="2C91E22A"/>
    <w:rsid w:val="2CAC0C09"/>
    <w:rsid w:val="2CCE909E"/>
    <w:rsid w:val="2CEEDC38"/>
    <w:rsid w:val="2D1E9813"/>
    <w:rsid w:val="2E39641A"/>
    <w:rsid w:val="2E740EE2"/>
    <w:rsid w:val="2EB3608A"/>
    <w:rsid w:val="2EDF7CEC"/>
    <w:rsid w:val="2EE1FD43"/>
    <w:rsid w:val="2F65D7D5"/>
    <w:rsid w:val="2F660506"/>
    <w:rsid w:val="2F902737"/>
    <w:rsid w:val="2FAB823E"/>
    <w:rsid w:val="2FBC95D7"/>
    <w:rsid w:val="2FDCC8CF"/>
    <w:rsid w:val="2FE12DFE"/>
    <w:rsid w:val="2FFC210A"/>
    <w:rsid w:val="3062A8C5"/>
    <w:rsid w:val="307E0CBF"/>
    <w:rsid w:val="3084D8AB"/>
    <w:rsid w:val="30D697B6"/>
    <w:rsid w:val="30FCE807"/>
    <w:rsid w:val="31459C3A"/>
    <w:rsid w:val="319C13AE"/>
    <w:rsid w:val="31B6D9F2"/>
    <w:rsid w:val="31DA01E9"/>
    <w:rsid w:val="3280A967"/>
    <w:rsid w:val="32ABDE10"/>
    <w:rsid w:val="32E8C6CE"/>
    <w:rsid w:val="3318CEC0"/>
    <w:rsid w:val="336347C0"/>
    <w:rsid w:val="3375BF1C"/>
    <w:rsid w:val="341B0F1B"/>
    <w:rsid w:val="3452201A"/>
    <w:rsid w:val="34B66E1F"/>
    <w:rsid w:val="3535BEBF"/>
    <w:rsid w:val="3549B6E3"/>
    <w:rsid w:val="354A3C20"/>
    <w:rsid w:val="356D0AF0"/>
    <w:rsid w:val="357D9E56"/>
    <w:rsid w:val="35C76DBA"/>
    <w:rsid w:val="35F7B89E"/>
    <w:rsid w:val="36506F82"/>
    <w:rsid w:val="3660AD88"/>
    <w:rsid w:val="366C2498"/>
    <w:rsid w:val="36B5A027"/>
    <w:rsid w:val="36C971DB"/>
    <w:rsid w:val="37196EB7"/>
    <w:rsid w:val="3742373A"/>
    <w:rsid w:val="375F2581"/>
    <w:rsid w:val="37712DF5"/>
    <w:rsid w:val="377B6CCD"/>
    <w:rsid w:val="37F167E5"/>
    <w:rsid w:val="380ECFD9"/>
    <w:rsid w:val="381627B5"/>
    <w:rsid w:val="3842C53D"/>
    <w:rsid w:val="3847DA11"/>
    <w:rsid w:val="3850F04A"/>
    <w:rsid w:val="3855C03C"/>
    <w:rsid w:val="3896A031"/>
    <w:rsid w:val="3897D5A8"/>
    <w:rsid w:val="38AD0372"/>
    <w:rsid w:val="38F87418"/>
    <w:rsid w:val="392E07AB"/>
    <w:rsid w:val="394DEA4F"/>
    <w:rsid w:val="3958A848"/>
    <w:rsid w:val="39666F77"/>
    <w:rsid w:val="3972BAB6"/>
    <w:rsid w:val="3990F9EC"/>
    <w:rsid w:val="39A9020B"/>
    <w:rsid w:val="39A9D579"/>
    <w:rsid w:val="39EC7AEF"/>
    <w:rsid w:val="3A6232F3"/>
    <w:rsid w:val="3A77F910"/>
    <w:rsid w:val="3A7806FC"/>
    <w:rsid w:val="3ADB890F"/>
    <w:rsid w:val="3B608DFD"/>
    <w:rsid w:val="3B81AE78"/>
    <w:rsid w:val="3BBDBBC2"/>
    <w:rsid w:val="3C1B5155"/>
    <w:rsid w:val="3C54FA1A"/>
    <w:rsid w:val="3C5D593D"/>
    <w:rsid w:val="3C69E8FF"/>
    <w:rsid w:val="3C708C52"/>
    <w:rsid w:val="3C976C47"/>
    <w:rsid w:val="3CAF515F"/>
    <w:rsid w:val="3CE224B2"/>
    <w:rsid w:val="3D3F4B79"/>
    <w:rsid w:val="3D4FA3BF"/>
    <w:rsid w:val="3D59026A"/>
    <w:rsid w:val="3D661E43"/>
    <w:rsid w:val="3D723A7D"/>
    <w:rsid w:val="3D80D5E8"/>
    <w:rsid w:val="3DB02D3B"/>
    <w:rsid w:val="3DB53EA8"/>
    <w:rsid w:val="3DCD21C0"/>
    <w:rsid w:val="3DD7A831"/>
    <w:rsid w:val="3DF63EA8"/>
    <w:rsid w:val="3E1A5F49"/>
    <w:rsid w:val="3E4C84CD"/>
    <w:rsid w:val="3E772CF4"/>
    <w:rsid w:val="3EC9B2EB"/>
    <w:rsid w:val="3EFE0471"/>
    <w:rsid w:val="3F113434"/>
    <w:rsid w:val="3F8AFCAD"/>
    <w:rsid w:val="3FB70BD2"/>
    <w:rsid w:val="3FD20E12"/>
    <w:rsid w:val="3FF1D64B"/>
    <w:rsid w:val="405DD871"/>
    <w:rsid w:val="408D8AE5"/>
    <w:rsid w:val="412E05D7"/>
    <w:rsid w:val="414B0F9F"/>
    <w:rsid w:val="415A1C0E"/>
    <w:rsid w:val="4170526C"/>
    <w:rsid w:val="417F9DCD"/>
    <w:rsid w:val="41BBDE1F"/>
    <w:rsid w:val="41F3F869"/>
    <w:rsid w:val="420A4B07"/>
    <w:rsid w:val="42240909"/>
    <w:rsid w:val="42315566"/>
    <w:rsid w:val="42429947"/>
    <w:rsid w:val="4249342F"/>
    <w:rsid w:val="426DE8E8"/>
    <w:rsid w:val="4273AA91"/>
    <w:rsid w:val="4288CC71"/>
    <w:rsid w:val="42D94691"/>
    <w:rsid w:val="42E27C4D"/>
    <w:rsid w:val="430B8B55"/>
    <w:rsid w:val="430C615B"/>
    <w:rsid w:val="43422773"/>
    <w:rsid w:val="43909DF1"/>
    <w:rsid w:val="439E2667"/>
    <w:rsid w:val="439E49B0"/>
    <w:rsid w:val="43C299AC"/>
    <w:rsid w:val="43FFDF45"/>
    <w:rsid w:val="44089C94"/>
    <w:rsid w:val="44817F6F"/>
    <w:rsid w:val="44A5D3DC"/>
    <w:rsid w:val="44C41741"/>
    <w:rsid w:val="44D9799F"/>
    <w:rsid w:val="4515FB40"/>
    <w:rsid w:val="451F5031"/>
    <w:rsid w:val="45252637"/>
    <w:rsid w:val="45CEFCBD"/>
    <w:rsid w:val="45EEE804"/>
    <w:rsid w:val="460F145C"/>
    <w:rsid w:val="461E9ADD"/>
    <w:rsid w:val="463D2E3F"/>
    <w:rsid w:val="4669C74A"/>
    <w:rsid w:val="467BA2F4"/>
    <w:rsid w:val="4698A344"/>
    <w:rsid w:val="46A45B85"/>
    <w:rsid w:val="46ABD754"/>
    <w:rsid w:val="46C3D766"/>
    <w:rsid w:val="46D145D8"/>
    <w:rsid w:val="47431610"/>
    <w:rsid w:val="478D293B"/>
    <w:rsid w:val="47EAB03F"/>
    <w:rsid w:val="47FD44CB"/>
    <w:rsid w:val="481A9881"/>
    <w:rsid w:val="485CA4B0"/>
    <w:rsid w:val="48929BD5"/>
    <w:rsid w:val="48B63277"/>
    <w:rsid w:val="48DBE659"/>
    <w:rsid w:val="4900A6D1"/>
    <w:rsid w:val="49B5D16A"/>
    <w:rsid w:val="49B8C121"/>
    <w:rsid w:val="49E44904"/>
    <w:rsid w:val="4A293FF3"/>
    <w:rsid w:val="4A33EBC5"/>
    <w:rsid w:val="4A6B9872"/>
    <w:rsid w:val="4A6CE0B4"/>
    <w:rsid w:val="4A710755"/>
    <w:rsid w:val="4AA9618C"/>
    <w:rsid w:val="4AA9ACB4"/>
    <w:rsid w:val="4AC9B7BE"/>
    <w:rsid w:val="4ACDAF54"/>
    <w:rsid w:val="4AE166B3"/>
    <w:rsid w:val="4AF548E7"/>
    <w:rsid w:val="4B1579DD"/>
    <w:rsid w:val="4B815641"/>
    <w:rsid w:val="4BA62BD1"/>
    <w:rsid w:val="4BEF34FA"/>
    <w:rsid w:val="4C456F56"/>
    <w:rsid w:val="4CB31721"/>
    <w:rsid w:val="4CCC8F1A"/>
    <w:rsid w:val="4CE905E3"/>
    <w:rsid w:val="4CEE6FFD"/>
    <w:rsid w:val="4D33A8C1"/>
    <w:rsid w:val="4D495A35"/>
    <w:rsid w:val="4D5106A4"/>
    <w:rsid w:val="4D71EFD0"/>
    <w:rsid w:val="4DB06F66"/>
    <w:rsid w:val="4DBCF49B"/>
    <w:rsid w:val="4DD75413"/>
    <w:rsid w:val="4DE152A2"/>
    <w:rsid w:val="4DE25605"/>
    <w:rsid w:val="4E09A11C"/>
    <w:rsid w:val="4E0C0923"/>
    <w:rsid w:val="4E2EBCAB"/>
    <w:rsid w:val="4E408EFA"/>
    <w:rsid w:val="4E988FBE"/>
    <w:rsid w:val="4EBA0B4F"/>
    <w:rsid w:val="4F40F773"/>
    <w:rsid w:val="4F5F019B"/>
    <w:rsid w:val="4F97781C"/>
    <w:rsid w:val="4FC90532"/>
    <w:rsid w:val="4FE00D53"/>
    <w:rsid w:val="4FFDC0BD"/>
    <w:rsid w:val="504749B7"/>
    <w:rsid w:val="5059BD48"/>
    <w:rsid w:val="505DE9CC"/>
    <w:rsid w:val="509AD29F"/>
    <w:rsid w:val="50E0E214"/>
    <w:rsid w:val="5112112C"/>
    <w:rsid w:val="51E6F73B"/>
    <w:rsid w:val="51EA225C"/>
    <w:rsid w:val="521CF819"/>
    <w:rsid w:val="5279EE2B"/>
    <w:rsid w:val="5287C117"/>
    <w:rsid w:val="52B00728"/>
    <w:rsid w:val="52C537E3"/>
    <w:rsid w:val="52D8C139"/>
    <w:rsid w:val="52E8645C"/>
    <w:rsid w:val="53023AD2"/>
    <w:rsid w:val="53054862"/>
    <w:rsid w:val="53081581"/>
    <w:rsid w:val="53733E4D"/>
    <w:rsid w:val="539422DB"/>
    <w:rsid w:val="53A524AC"/>
    <w:rsid w:val="53CC1A6D"/>
    <w:rsid w:val="544596C2"/>
    <w:rsid w:val="544C2287"/>
    <w:rsid w:val="54627AC8"/>
    <w:rsid w:val="548A5642"/>
    <w:rsid w:val="54CE90FE"/>
    <w:rsid w:val="54F09DA5"/>
    <w:rsid w:val="54FE458D"/>
    <w:rsid w:val="55494C14"/>
    <w:rsid w:val="5558D809"/>
    <w:rsid w:val="556E43C2"/>
    <w:rsid w:val="557ED733"/>
    <w:rsid w:val="5595719F"/>
    <w:rsid w:val="55A832B5"/>
    <w:rsid w:val="55B5F6E7"/>
    <w:rsid w:val="55BCB846"/>
    <w:rsid w:val="55E30350"/>
    <w:rsid w:val="5600C553"/>
    <w:rsid w:val="560284A1"/>
    <w:rsid w:val="5624B24E"/>
    <w:rsid w:val="56A4D295"/>
    <w:rsid w:val="56C92500"/>
    <w:rsid w:val="56D0A37D"/>
    <w:rsid w:val="56D65906"/>
    <w:rsid w:val="56EAFC91"/>
    <w:rsid w:val="56EF167F"/>
    <w:rsid w:val="570C0A5F"/>
    <w:rsid w:val="576A240A"/>
    <w:rsid w:val="57866954"/>
    <w:rsid w:val="57AB7E42"/>
    <w:rsid w:val="57B18499"/>
    <w:rsid w:val="58027876"/>
    <w:rsid w:val="581D7094"/>
    <w:rsid w:val="58206768"/>
    <w:rsid w:val="5823CBFF"/>
    <w:rsid w:val="582542F0"/>
    <w:rsid w:val="584FC240"/>
    <w:rsid w:val="58864B06"/>
    <w:rsid w:val="58B8811C"/>
    <w:rsid w:val="58F98785"/>
    <w:rsid w:val="591186BD"/>
    <w:rsid w:val="591C276C"/>
    <w:rsid w:val="592508AC"/>
    <w:rsid w:val="592BCE47"/>
    <w:rsid w:val="593FAC73"/>
    <w:rsid w:val="5990EDFE"/>
    <w:rsid w:val="59B8ABF4"/>
    <w:rsid w:val="59EDAE2E"/>
    <w:rsid w:val="5A0E3516"/>
    <w:rsid w:val="5A3E8DB7"/>
    <w:rsid w:val="5A43AB21"/>
    <w:rsid w:val="5A4AB7A2"/>
    <w:rsid w:val="5A769258"/>
    <w:rsid w:val="5A995102"/>
    <w:rsid w:val="5AC1A4D2"/>
    <w:rsid w:val="5B1E952E"/>
    <w:rsid w:val="5B410788"/>
    <w:rsid w:val="5B5E81E1"/>
    <w:rsid w:val="5B64762E"/>
    <w:rsid w:val="5B8FD87E"/>
    <w:rsid w:val="5B93C8FA"/>
    <w:rsid w:val="5BFB5AD3"/>
    <w:rsid w:val="5C3F6338"/>
    <w:rsid w:val="5C467ED2"/>
    <w:rsid w:val="5C57FCEC"/>
    <w:rsid w:val="5CFB5012"/>
    <w:rsid w:val="5D37AE1F"/>
    <w:rsid w:val="5D389955"/>
    <w:rsid w:val="5D97DAD9"/>
    <w:rsid w:val="5DDE15FE"/>
    <w:rsid w:val="5DF4FBFD"/>
    <w:rsid w:val="5E041731"/>
    <w:rsid w:val="5E1286CD"/>
    <w:rsid w:val="5E2C1322"/>
    <w:rsid w:val="5E735961"/>
    <w:rsid w:val="5E7EEAE9"/>
    <w:rsid w:val="5E8319C9"/>
    <w:rsid w:val="5E86AE34"/>
    <w:rsid w:val="5EAAACE1"/>
    <w:rsid w:val="5EB09511"/>
    <w:rsid w:val="5ED4069A"/>
    <w:rsid w:val="5EEA1EA5"/>
    <w:rsid w:val="5EF60E76"/>
    <w:rsid w:val="5F174F15"/>
    <w:rsid w:val="5F63CA5F"/>
    <w:rsid w:val="5F6A5117"/>
    <w:rsid w:val="5FBD4A8B"/>
    <w:rsid w:val="5FE26107"/>
    <w:rsid w:val="60005E7D"/>
    <w:rsid w:val="6094CC7A"/>
    <w:rsid w:val="60A15ED9"/>
    <w:rsid w:val="61324EDF"/>
    <w:rsid w:val="61467130"/>
    <w:rsid w:val="61496C47"/>
    <w:rsid w:val="61CD6C7D"/>
    <w:rsid w:val="61D24E56"/>
    <w:rsid w:val="61D5B0EB"/>
    <w:rsid w:val="61E5E510"/>
    <w:rsid w:val="61F1F6E5"/>
    <w:rsid w:val="6237733E"/>
    <w:rsid w:val="626392FD"/>
    <w:rsid w:val="62AF5113"/>
    <w:rsid w:val="62EBA7AA"/>
    <w:rsid w:val="632BBC2C"/>
    <w:rsid w:val="6347AC2E"/>
    <w:rsid w:val="634C196D"/>
    <w:rsid w:val="637E8D43"/>
    <w:rsid w:val="63C1E603"/>
    <w:rsid w:val="63C34137"/>
    <w:rsid w:val="63CF4F06"/>
    <w:rsid w:val="63ED2AB2"/>
    <w:rsid w:val="645A0EC8"/>
    <w:rsid w:val="647AA70E"/>
    <w:rsid w:val="6493B633"/>
    <w:rsid w:val="64ADF043"/>
    <w:rsid w:val="6507F6DA"/>
    <w:rsid w:val="65144219"/>
    <w:rsid w:val="6518820C"/>
    <w:rsid w:val="65188AB8"/>
    <w:rsid w:val="6567CB69"/>
    <w:rsid w:val="65A26FEA"/>
    <w:rsid w:val="65A64F53"/>
    <w:rsid w:val="65BFC62C"/>
    <w:rsid w:val="65C6915C"/>
    <w:rsid w:val="65FCE7C2"/>
    <w:rsid w:val="660B793A"/>
    <w:rsid w:val="66E81477"/>
    <w:rsid w:val="67169912"/>
    <w:rsid w:val="672980F7"/>
    <w:rsid w:val="67B28CED"/>
    <w:rsid w:val="67D41E07"/>
    <w:rsid w:val="68D63762"/>
    <w:rsid w:val="690D24F6"/>
    <w:rsid w:val="69322524"/>
    <w:rsid w:val="69391A09"/>
    <w:rsid w:val="693C5DDD"/>
    <w:rsid w:val="69C8DFB5"/>
    <w:rsid w:val="69F21DD2"/>
    <w:rsid w:val="6A0D28DA"/>
    <w:rsid w:val="6A142705"/>
    <w:rsid w:val="6A277D0B"/>
    <w:rsid w:val="6A55FF93"/>
    <w:rsid w:val="6A651575"/>
    <w:rsid w:val="6A8120C9"/>
    <w:rsid w:val="6A814A5C"/>
    <w:rsid w:val="6AB189B0"/>
    <w:rsid w:val="6AD08278"/>
    <w:rsid w:val="6AF00A0A"/>
    <w:rsid w:val="6B3ED7E9"/>
    <w:rsid w:val="6B691720"/>
    <w:rsid w:val="6B89D1F9"/>
    <w:rsid w:val="6B9E1DDB"/>
    <w:rsid w:val="6B9F3DB2"/>
    <w:rsid w:val="6BBB6921"/>
    <w:rsid w:val="6BE85763"/>
    <w:rsid w:val="6C1DC3C6"/>
    <w:rsid w:val="6C2FB755"/>
    <w:rsid w:val="6C509D89"/>
    <w:rsid w:val="6C617A34"/>
    <w:rsid w:val="6C7BB90C"/>
    <w:rsid w:val="6D1832C3"/>
    <w:rsid w:val="6D8F449E"/>
    <w:rsid w:val="6DB1FAB2"/>
    <w:rsid w:val="6DD41B82"/>
    <w:rsid w:val="6E651CD4"/>
    <w:rsid w:val="6EFAF769"/>
    <w:rsid w:val="6F04CD7D"/>
    <w:rsid w:val="6F0555E4"/>
    <w:rsid w:val="6F28A1EF"/>
    <w:rsid w:val="6F5CC2AE"/>
    <w:rsid w:val="6FB142C1"/>
    <w:rsid w:val="6FB25B80"/>
    <w:rsid w:val="701FE3C9"/>
    <w:rsid w:val="705AC684"/>
    <w:rsid w:val="705CDA26"/>
    <w:rsid w:val="70B2E6BA"/>
    <w:rsid w:val="70D68F9D"/>
    <w:rsid w:val="70D89E64"/>
    <w:rsid w:val="71364D18"/>
    <w:rsid w:val="71503EC3"/>
    <w:rsid w:val="7164A6EE"/>
    <w:rsid w:val="718A364E"/>
    <w:rsid w:val="71E08595"/>
    <w:rsid w:val="71EDB6C8"/>
    <w:rsid w:val="720003E9"/>
    <w:rsid w:val="7217198E"/>
    <w:rsid w:val="7232EB20"/>
    <w:rsid w:val="723C957D"/>
    <w:rsid w:val="72613DEF"/>
    <w:rsid w:val="730E176B"/>
    <w:rsid w:val="7345D757"/>
    <w:rsid w:val="73A18408"/>
    <w:rsid w:val="73B5C994"/>
    <w:rsid w:val="73CEEE52"/>
    <w:rsid w:val="73D865DE"/>
    <w:rsid w:val="73F8D26C"/>
    <w:rsid w:val="741F068F"/>
    <w:rsid w:val="7447991A"/>
    <w:rsid w:val="74534BF9"/>
    <w:rsid w:val="746299BB"/>
    <w:rsid w:val="7462B212"/>
    <w:rsid w:val="746C87BB"/>
    <w:rsid w:val="7475CCD0"/>
    <w:rsid w:val="74839AB6"/>
    <w:rsid w:val="74B4AC49"/>
    <w:rsid w:val="74DF1802"/>
    <w:rsid w:val="74ECC502"/>
    <w:rsid w:val="75528D24"/>
    <w:rsid w:val="75686E68"/>
    <w:rsid w:val="7571CB69"/>
    <w:rsid w:val="7579B261"/>
    <w:rsid w:val="757C38F5"/>
    <w:rsid w:val="7610A82C"/>
    <w:rsid w:val="76153F31"/>
    <w:rsid w:val="7621C65D"/>
    <w:rsid w:val="762FB229"/>
    <w:rsid w:val="764C3CA6"/>
    <w:rsid w:val="76EB8B1F"/>
    <w:rsid w:val="76ED5C52"/>
    <w:rsid w:val="772071D8"/>
    <w:rsid w:val="7740E8BF"/>
    <w:rsid w:val="77423463"/>
    <w:rsid w:val="7759F3BB"/>
    <w:rsid w:val="77660666"/>
    <w:rsid w:val="7783AD69"/>
    <w:rsid w:val="77A44508"/>
    <w:rsid w:val="77AE7746"/>
    <w:rsid w:val="77B6131A"/>
    <w:rsid w:val="785D1079"/>
    <w:rsid w:val="78838D56"/>
    <w:rsid w:val="7922C19E"/>
    <w:rsid w:val="7925514A"/>
    <w:rsid w:val="792665A0"/>
    <w:rsid w:val="792AAE29"/>
    <w:rsid w:val="79A43D8B"/>
    <w:rsid w:val="79F60DC5"/>
    <w:rsid w:val="7A038970"/>
    <w:rsid w:val="7A16981D"/>
    <w:rsid w:val="7A3F398A"/>
    <w:rsid w:val="7A74EF07"/>
    <w:rsid w:val="7A87EE83"/>
    <w:rsid w:val="7AA432C0"/>
    <w:rsid w:val="7AC22BB3"/>
    <w:rsid w:val="7ADA3804"/>
    <w:rsid w:val="7AEF4333"/>
    <w:rsid w:val="7AF9EBFF"/>
    <w:rsid w:val="7B0EF03B"/>
    <w:rsid w:val="7B10A7BC"/>
    <w:rsid w:val="7B56143B"/>
    <w:rsid w:val="7B685B93"/>
    <w:rsid w:val="7BC05214"/>
    <w:rsid w:val="7BFDEED8"/>
    <w:rsid w:val="7C44AC2F"/>
    <w:rsid w:val="7C4AFADF"/>
    <w:rsid w:val="7C87C9BF"/>
    <w:rsid w:val="7D22094C"/>
    <w:rsid w:val="7D23B154"/>
    <w:rsid w:val="7D5A685D"/>
    <w:rsid w:val="7D648743"/>
    <w:rsid w:val="7D754AD2"/>
    <w:rsid w:val="7D8316EC"/>
    <w:rsid w:val="7D9722E9"/>
    <w:rsid w:val="7E07E52A"/>
    <w:rsid w:val="7E1E8016"/>
    <w:rsid w:val="7EA6925C"/>
    <w:rsid w:val="7EDEA6DB"/>
    <w:rsid w:val="7EFE6843"/>
    <w:rsid w:val="7F35B16D"/>
    <w:rsid w:val="7F4CAD7E"/>
    <w:rsid w:val="7F6F0094"/>
    <w:rsid w:val="7FA17866"/>
    <w:rsid w:val="7FB3E158"/>
    <w:rsid w:val="7FFCD4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81976"/>
  <w15:chartTrackingRefBased/>
  <w15:docId w15:val="{A8122ABD-193E-426A-979A-2D64B53E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059"/>
    <w:pPr>
      <w:spacing w:line="276" w:lineRule="auto"/>
    </w:pPr>
  </w:style>
  <w:style w:type="paragraph" w:styleId="Heading1">
    <w:name w:val="heading 1"/>
    <w:basedOn w:val="Normal"/>
    <w:next w:val="Normal"/>
    <w:link w:val="Heading1Char"/>
    <w:uiPriority w:val="9"/>
    <w:qFormat/>
    <w:rsid w:val="00B520D5"/>
    <w:pPr>
      <w:keepNext/>
      <w:keepLines/>
      <w:spacing w:line="240" w:lineRule="auto"/>
      <w:outlineLvl w:val="0"/>
    </w:pPr>
    <w:rPr>
      <w:rFonts w:eastAsiaTheme="majorEastAsia" w:cs="Assistant SemiBold"/>
      <w:b/>
      <w:color w:val="323E4F" w:themeColor="text2" w:themeShade="BF"/>
      <w:sz w:val="56"/>
      <w:szCs w:val="52"/>
    </w:rPr>
  </w:style>
  <w:style w:type="paragraph" w:styleId="Heading2">
    <w:name w:val="heading 2"/>
    <w:basedOn w:val="Heading1"/>
    <w:next w:val="Normal"/>
    <w:link w:val="Heading2Char"/>
    <w:uiPriority w:val="9"/>
    <w:unhideWhenUsed/>
    <w:qFormat/>
    <w:rsid w:val="00153F97"/>
    <w:pPr>
      <w:numPr>
        <w:ilvl w:val="1"/>
      </w:numPr>
      <w:spacing w:before="320"/>
      <w:outlineLvl w:val="1"/>
    </w:pPr>
    <w:rPr>
      <w:sz w:val="44"/>
      <w:szCs w:val="40"/>
    </w:rPr>
  </w:style>
  <w:style w:type="paragraph" w:styleId="Heading3">
    <w:name w:val="heading 3"/>
    <w:basedOn w:val="Heading2"/>
    <w:next w:val="Normal"/>
    <w:link w:val="Heading3Char"/>
    <w:uiPriority w:val="9"/>
    <w:unhideWhenUsed/>
    <w:qFormat/>
    <w:rsid w:val="009C54E7"/>
    <w:pPr>
      <w:numPr>
        <w:ilvl w:val="2"/>
      </w:numPr>
      <w:outlineLvl w:val="2"/>
    </w:pPr>
    <w:rPr>
      <w:sz w:val="32"/>
      <w:szCs w:val="20"/>
    </w:rPr>
  </w:style>
  <w:style w:type="paragraph" w:styleId="Heading4">
    <w:name w:val="heading 4"/>
    <w:basedOn w:val="Heading3"/>
    <w:next w:val="Normal"/>
    <w:link w:val="Heading4Char"/>
    <w:uiPriority w:val="9"/>
    <w:unhideWhenUsed/>
    <w:qFormat/>
    <w:rsid w:val="00ED7B9F"/>
    <w:pPr>
      <w:numPr>
        <w:ilvl w:val="3"/>
      </w:numPr>
      <w:outlineLvl w:val="3"/>
    </w:pPr>
    <w:rPr>
      <w:rFonts w:eastAsia="Calibri"/>
      <w:iCs/>
      <w:sz w:val="26"/>
      <w:szCs w:val="28"/>
    </w:rPr>
  </w:style>
  <w:style w:type="paragraph" w:styleId="Heading5">
    <w:name w:val="heading 5"/>
    <w:basedOn w:val="Heading4"/>
    <w:next w:val="Normal"/>
    <w:link w:val="Heading5Char"/>
    <w:uiPriority w:val="9"/>
    <w:unhideWhenUsed/>
    <w:qFormat/>
    <w:rsid w:val="00CD65A1"/>
    <w:pPr>
      <w:numPr>
        <w:ilvl w:val="0"/>
      </w:numPr>
      <w:outlineLvl w:val="4"/>
    </w:pPr>
    <w:rPr>
      <w:rFonts w:cs="Calibri"/>
      <w:iCs w:val="0"/>
      <w:szCs w:val="22"/>
    </w:rPr>
  </w:style>
  <w:style w:type="paragraph" w:styleId="Heading6">
    <w:name w:val="heading 6"/>
    <w:basedOn w:val="Heading5"/>
    <w:next w:val="Normal"/>
    <w:link w:val="Heading6Char"/>
    <w:uiPriority w:val="9"/>
    <w:unhideWhenUsed/>
    <w:qFormat/>
    <w:rsid w:val="008E2217"/>
    <w:pPr>
      <w:outlineLvl w:val="5"/>
    </w:pPr>
  </w:style>
  <w:style w:type="paragraph" w:styleId="Heading7">
    <w:name w:val="heading 7"/>
    <w:basedOn w:val="Heading6"/>
    <w:next w:val="Normal"/>
    <w:link w:val="Heading7Char"/>
    <w:uiPriority w:val="9"/>
    <w:unhideWhenUsed/>
    <w:rsid w:val="008E2217"/>
    <w:pPr>
      <w:outlineLvl w:val="6"/>
    </w:pPr>
  </w:style>
  <w:style w:type="paragraph" w:styleId="Heading8">
    <w:name w:val="heading 8"/>
    <w:basedOn w:val="Heading7"/>
    <w:next w:val="Normal"/>
    <w:link w:val="Heading8Char"/>
    <w:uiPriority w:val="9"/>
    <w:unhideWhenUsed/>
    <w:qFormat/>
    <w:rsid w:val="004F69E3"/>
    <w:pPr>
      <w:outlineLvl w:val="7"/>
    </w:pPr>
  </w:style>
  <w:style w:type="paragraph" w:styleId="Heading9">
    <w:name w:val="heading 9"/>
    <w:basedOn w:val="Heading8"/>
    <w:next w:val="Normal"/>
    <w:link w:val="Heading9Char"/>
    <w:uiPriority w:val="9"/>
    <w:unhideWhenUsed/>
    <w:qFormat/>
    <w:rsid w:val="004F69E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0D5"/>
    <w:rPr>
      <w:rFonts w:ascii="Arial Nova" w:eastAsiaTheme="majorEastAsia" w:hAnsi="Arial Nova" w:cs="Assistant SemiBold"/>
      <w:b/>
      <w:color w:val="323E4F" w:themeColor="text2" w:themeShade="BF"/>
      <w:sz w:val="56"/>
      <w:szCs w:val="52"/>
    </w:rPr>
  </w:style>
  <w:style w:type="character" w:customStyle="1" w:styleId="Heading2Char">
    <w:name w:val="Heading 2 Char"/>
    <w:basedOn w:val="DefaultParagraphFont"/>
    <w:link w:val="Heading2"/>
    <w:uiPriority w:val="9"/>
    <w:rsid w:val="00153F97"/>
    <w:rPr>
      <w:rFonts w:eastAsiaTheme="majorEastAsia" w:cs="Assistant SemiBold"/>
      <w:b/>
      <w:color w:val="323E4F" w:themeColor="text2" w:themeShade="BF"/>
      <w:sz w:val="44"/>
      <w:szCs w:val="40"/>
    </w:rPr>
  </w:style>
  <w:style w:type="character" w:customStyle="1" w:styleId="Heading3Char">
    <w:name w:val="Heading 3 Char"/>
    <w:basedOn w:val="DefaultParagraphFont"/>
    <w:link w:val="Heading3"/>
    <w:uiPriority w:val="9"/>
    <w:rsid w:val="009C54E7"/>
    <w:rPr>
      <w:rFonts w:ascii="Arial Nova" w:eastAsiaTheme="majorEastAsia" w:hAnsi="Arial Nova" w:cs="Assistant SemiBold"/>
      <w:color w:val="D0DF00" w:themeColor="accent1"/>
      <w:sz w:val="32"/>
      <w:szCs w:val="20"/>
    </w:rPr>
  </w:style>
  <w:style w:type="character" w:customStyle="1" w:styleId="Heading4Char">
    <w:name w:val="Heading 4 Char"/>
    <w:basedOn w:val="DefaultParagraphFont"/>
    <w:link w:val="Heading4"/>
    <w:uiPriority w:val="9"/>
    <w:rsid w:val="00ED7B9F"/>
    <w:rPr>
      <w:rFonts w:eastAsia="Calibri" w:cs="Assistant SemiBold"/>
      <w:b/>
      <w:iCs/>
      <w:color w:val="323E4F" w:themeColor="text2" w:themeShade="BF"/>
      <w:sz w:val="26"/>
      <w:szCs w:val="28"/>
    </w:rPr>
  </w:style>
  <w:style w:type="character" w:customStyle="1" w:styleId="Heading5Char">
    <w:name w:val="Heading 5 Char"/>
    <w:basedOn w:val="DefaultParagraphFont"/>
    <w:link w:val="Heading5"/>
    <w:uiPriority w:val="9"/>
    <w:rsid w:val="00153F97"/>
    <w:rPr>
      <w:rFonts w:eastAsia="Calibri" w:cs="Calibri"/>
      <w:b/>
      <w:color w:val="323E4F" w:themeColor="text2" w:themeShade="BF"/>
      <w:sz w:val="26"/>
      <w:szCs w:val="22"/>
    </w:rPr>
  </w:style>
  <w:style w:type="character" w:customStyle="1" w:styleId="Heading6Char">
    <w:name w:val="Heading 6 Char"/>
    <w:basedOn w:val="DefaultParagraphFont"/>
    <w:link w:val="Heading6"/>
    <w:uiPriority w:val="9"/>
    <w:rsid w:val="008E2217"/>
    <w:rPr>
      <w:rFonts w:ascii="Arial Nova" w:eastAsia="Calibri" w:hAnsi="Arial Nova" w:cs="Calibri"/>
      <w:b/>
      <w:iCs/>
      <w:color w:val="323E4F" w:themeColor="text2" w:themeShade="BF"/>
      <w:sz w:val="24"/>
    </w:rPr>
  </w:style>
  <w:style w:type="character" w:customStyle="1" w:styleId="Heading7Char">
    <w:name w:val="Heading 7 Char"/>
    <w:basedOn w:val="DefaultParagraphFont"/>
    <w:link w:val="Heading7"/>
    <w:uiPriority w:val="9"/>
    <w:rsid w:val="008E2217"/>
    <w:rPr>
      <w:rFonts w:ascii="Arial Nova" w:eastAsia="Calibri" w:hAnsi="Arial Nova" w:cs="Calibri"/>
      <w:b/>
      <w:iCs/>
      <w:color w:val="323E4F" w:themeColor="text2" w:themeShade="BF"/>
      <w:sz w:val="24"/>
    </w:rPr>
  </w:style>
  <w:style w:type="character" w:customStyle="1" w:styleId="Heading8Char">
    <w:name w:val="Heading 8 Char"/>
    <w:basedOn w:val="DefaultParagraphFont"/>
    <w:link w:val="Heading8"/>
    <w:uiPriority w:val="9"/>
    <w:rsid w:val="004F69E3"/>
    <w:rPr>
      <w:rFonts w:ascii="Arial Nova" w:eastAsia="Calibri" w:hAnsi="Arial Nova" w:cs="Calibri"/>
      <w:b/>
      <w:iCs/>
      <w:color w:val="323E4F" w:themeColor="text2" w:themeShade="BF"/>
      <w:sz w:val="24"/>
    </w:rPr>
  </w:style>
  <w:style w:type="character" w:customStyle="1" w:styleId="Heading9Char">
    <w:name w:val="Heading 9 Char"/>
    <w:basedOn w:val="DefaultParagraphFont"/>
    <w:link w:val="Heading9"/>
    <w:uiPriority w:val="9"/>
    <w:rsid w:val="004F69E3"/>
    <w:rPr>
      <w:rFonts w:ascii="Arial Nova" w:eastAsia="Calibri" w:hAnsi="Arial Nova" w:cs="Calibri"/>
      <w:b/>
      <w:iCs/>
      <w:color w:val="323E4F" w:themeColor="text2" w:themeShade="BF"/>
      <w:sz w:val="24"/>
    </w:rPr>
  </w:style>
  <w:style w:type="paragraph" w:styleId="Index1">
    <w:name w:val="index 1"/>
    <w:basedOn w:val="Normal"/>
    <w:next w:val="Normal"/>
    <w:autoRedefine/>
    <w:uiPriority w:val="99"/>
    <w:semiHidden/>
    <w:unhideWhenUsed/>
    <w:rsid w:val="003C7A3D"/>
    <w:pPr>
      <w:spacing w:line="240" w:lineRule="auto"/>
      <w:ind w:left="240" w:hanging="240"/>
    </w:pPr>
  </w:style>
  <w:style w:type="paragraph" w:customStyle="1" w:styleId="BreakoutBox">
    <w:name w:val="Breakout Box"/>
    <w:basedOn w:val="Normal"/>
    <w:qFormat/>
    <w:rsid w:val="00437BD0"/>
    <w:pPr>
      <w:keepNext/>
      <w:keepLines/>
      <w:pBdr>
        <w:top w:val="single" w:sz="8" w:space="4" w:color="ACB9CA" w:themeColor="text2" w:themeTint="66"/>
        <w:left w:val="single" w:sz="8" w:space="4" w:color="ACB9CA" w:themeColor="text2" w:themeTint="66"/>
        <w:bottom w:val="single" w:sz="8" w:space="4" w:color="ACB9CA" w:themeColor="text2" w:themeTint="66"/>
        <w:right w:val="single" w:sz="8" w:space="4" w:color="ACB9CA" w:themeColor="text2" w:themeTint="66"/>
      </w:pBdr>
      <w:shd w:val="clear" w:color="auto" w:fill="323E4F" w:themeFill="text2" w:themeFillShade="BF"/>
    </w:pPr>
    <w:rPr>
      <w:color w:val="FFFFFF" w:themeColor="background1"/>
    </w:rPr>
  </w:style>
  <w:style w:type="paragraph" w:customStyle="1" w:styleId="FigureDescription">
    <w:name w:val="Figure Description"/>
    <w:basedOn w:val="Normal"/>
    <w:link w:val="FigureDescriptionChar"/>
    <w:qFormat/>
    <w:rsid w:val="000F1082"/>
    <w:pPr>
      <w:shd w:val="clear" w:color="auto" w:fill="D5DCE4" w:themeFill="text2" w:themeFillTint="33"/>
      <w:spacing w:before="360" w:after="120"/>
    </w:pPr>
    <w:rPr>
      <w:rFonts w:eastAsia="Calibri" w:cs="Calibri"/>
      <w:iCs/>
      <w:szCs w:val="22"/>
    </w:rPr>
  </w:style>
  <w:style w:type="character" w:customStyle="1" w:styleId="FigureDescriptionChar">
    <w:name w:val="Figure Description Char"/>
    <w:basedOn w:val="DefaultParagraphFont"/>
    <w:link w:val="FigureDescription"/>
    <w:rsid w:val="000F1082"/>
    <w:rPr>
      <w:rFonts w:ascii="Arial Nova" w:eastAsia="Calibri" w:hAnsi="Arial Nova" w:cs="Calibri"/>
      <w:iCs/>
      <w:sz w:val="24"/>
      <w:shd w:val="clear" w:color="auto" w:fill="D5DCE4" w:themeFill="text2" w:themeFillTint="33"/>
    </w:rPr>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列"/>
    <w:basedOn w:val="Normal"/>
    <w:link w:val="ListParagraphChar"/>
    <w:qFormat/>
    <w:rsid w:val="0013482C"/>
    <w:pPr>
      <w:numPr>
        <w:numId w:val="1"/>
      </w:numPr>
      <w:ind w:right="288"/>
    </w:pPr>
    <w:rPr>
      <w:rFonts w:cs="Calibri"/>
      <w:kern w:val="24"/>
      <w:szCs w:val="22"/>
      <w:lang w:eastAsia="en-AU"/>
    </w:rPr>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basedOn w:val="DefaultParagraphFont"/>
    <w:link w:val="ListParagraph"/>
    <w:rsid w:val="0013482C"/>
    <w:rPr>
      <w:rFonts w:cs="Calibri"/>
      <w:kern w:val="24"/>
      <w:szCs w:val="22"/>
      <w:lang w:eastAsia="en-AU"/>
    </w:rPr>
  </w:style>
  <w:style w:type="paragraph" w:styleId="Title">
    <w:name w:val="Title"/>
    <w:basedOn w:val="Heading1"/>
    <w:next w:val="Heading3"/>
    <w:link w:val="TitleChar"/>
    <w:autoRedefine/>
    <w:uiPriority w:val="10"/>
    <w:qFormat/>
    <w:rsid w:val="00F82052"/>
    <w:pPr>
      <w:contextualSpacing/>
    </w:pPr>
    <w:rPr>
      <w:rFonts w:asciiTheme="minorHAnsi" w:hAnsiTheme="minorHAnsi" w:cstheme="majorBidi"/>
      <w:b w:val="0"/>
      <w:spacing w:val="-10"/>
      <w:kern w:val="28"/>
      <w:sz w:val="96"/>
      <w:szCs w:val="56"/>
    </w:rPr>
  </w:style>
  <w:style w:type="character" w:customStyle="1" w:styleId="TitleChar">
    <w:name w:val="Title Char"/>
    <w:basedOn w:val="DefaultParagraphFont"/>
    <w:link w:val="Title"/>
    <w:uiPriority w:val="10"/>
    <w:rsid w:val="00F82052"/>
    <w:rPr>
      <w:rFonts w:asciiTheme="minorHAnsi" w:eastAsiaTheme="majorEastAsia" w:hAnsiTheme="minorHAnsi" w:cstheme="majorBidi"/>
      <w:color w:val="323E4F" w:themeColor="text2" w:themeShade="BF"/>
      <w:spacing w:val="-10"/>
      <w:kern w:val="28"/>
      <w:sz w:val="96"/>
      <w:szCs w:val="56"/>
    </w:rPr>
  </w:style>
  <w:style w:type="paragraph" w:styleId="Subtitle">
    <w:name w:val="Subtitle"/>
    <w:basedOn w:val="Normal"/>
    <w:next w:val="Normal"/>
    <w:link w:val="SubtitleChar"/>
    <w:uiPriority w:val="11"/>
    <w:qFormat/>
    <w:rsid w:val="00661584"/>
    <w:pPr>
      <w:spacing w:after="120"/>
    </w:pPr>
    <w:rPr>
      <w:rFonts w:eastAsia="Calibri" w:cs="Calibri"/>
      <w:sz w:val="48"/>
      <w:szCs w:val="22"/>
    </w:rPr>
  </w:style>
  <w:style w:type="character" w:customStyle="1" w:styleId="SubtitleChar">
    <w:name w:val="Subtitle Char"/>
    <w:basedOn w:val="DefaultParagraphFont"/>
    <w:link w:val="Subtitle"/>
    <w:uiPriority w:val="11"/>
    <w:rsid w:val="00661584"/>
    <w:rPr>
      <w:rFonts w:eastAsia="Calibri" w:cs="Calibri"/>
      <w:sz w:val="48"/>
      <w:szCs w:val="22"/>
    </w:rPr>
  </w:style>
  <w:style w:type="paragraph" w:styleId="TOAHeading">
    <w:name w:val="toa heading"/>
    <w:basedOn w:val="Normal"/>
    <w:next w:val="Normal"/>
    <w:uiPriority w:val="99"/>
    <w:unhideWhenUsed/>
    <w:rsid w:val="006457CA"/>
  </w:style>
  <w:style w:type="paragraph" w:styleId="Quote">
    <w:name w:val="Quote"/>
    <w:basedOn w:val="Normal"/>
    <w:next w:val="QuoteAttribution"/>
    <w:link w:val="QuoteChar"/>
    <w:uiPriority w:val="29"/>
    <w:qFormat/>
    <w:rsid w:val="006B6AB1"/>
    <w:pPr>
      <w:pBdr>
        <w:top w:val="single" w:sz="4" w:space="4" w:color="D5DCE4" w:themeColor="text2" w:themeTint="33"/>
        <w:left w:val="single" w:sz="4" w:space="4" w:color="D5DCE4" w:themeColor="text2" w:themeTint="33"/>
        <w:bottom w:val="single" w:sz="4" w:space="4" w:color="D5DCE4" w:themeColor="text2" w:themeTint="33"/>
        <w:right w:val="single" w:sz="4" w:space="4" w:color="D5DCE4" w:themeColor="text2" w:themeTint="33"/>
      </w:pBdr>
      <w:shd w:val="clear" w:color="auto" w:fill="D5DCE4" w:themeFill="text2" w:themeFillTint="33"/>
      <w:spacing w:before="160"/>
      <w:ind w:left="862" w:right="862"/>
    </w:pPr>
    <w:rPr>
      <w:rFonts w:eastAsia="Calibri" w:cs="Calibri"/>
      <w:b/>
      <w:iCs/>
      <w:color w:val="222A35" w:themeColor="text2" w:themeShade="80"/>
      <w:szCs w:val="22"/>
    </w:rPr>
  </w:style>
  <w:style w:type="character" w:customStyle="1" w:styleId="QuoteChar">
    <w:name w:val="Quote Char"/>
    <w:basedOn w:val="DefaultParagraphFont"/>
    <w:link w:val="Quote"/>
    <w:uiPriority w:val="29"/>
    <w:rsid w:val="006B6AB1"/>
    <w:rPr>
      <w:rFonts w:eastAsia="Calibri" w:cs="Calibri"/>
      <w:b/>
      <w:iCs/>
      <w:color w:val="222A35" w:themeColor="text2" w:themeShade="80"/>
      <w:szCs w:val="22"/>
      <w:shd w:val="clear" w:color="auto" w:fill="D5DCE4" w:themeFill="text2" w:themeFillTint="33"/>
    </w:rPr>
  </w:style>
  <w:style w:type="paragraph" w:styleId="Footer">
    <w:name w:val="footer"/>
    <w:basedOn w:val="Normal"/>
    <w:link w:val="FooterChar"/>
    <w:uiPriority w:val="99"/>
    <w:unhideWhenUsed/>
    <w:rsid w:val="0080060D"/>
    <w:pPr>
      <w:tabs>
        <w:tab w:val="center" w:pos="4513"/>
        <w:tab w:val="right" w:pos="9026"/>
      </w:tabs>
    </w:pPr>
    <w:rPr>
      <w:rFonts w:cs="Calibri"/>
      <w:szCs w:val="22"/>
      <w:lang w:eastAsia="en-AU"/>
    </w:rPr>
  </w:style>
  <w:style w:type="character" w:customStyle="1" w:styleId="FooterChar">
    <w:name w:val="Footer Char"/>
    <w:basedOn w:val="DefaultParagraphFont"/>
    <w:link w:val="Footer"/>
    <w:uiPriority w:val="99"/>
    <w:rsid w:val="0080060D"/>
    <w:rPr>
      <w:rFonts w:ascii="Arial Nova" w:hAnsi="Arial Nova" w:cs="Calibri"/>
      <w:sz w:val="24"/>
      <w:lang w:val="en-US" w:eastAsia="en-AU"/>
    </w:rPr>
  </w:style>
  <w:style w:type="table" w:styleId="TableGrid">
    <w:name w:val="Table Grid"/>
    <w:aliases w:val="DPS Table Grid"/>
    <w:basedOn w:val="TableNormal"/>
    <w:uiPriority w:val="39"/>
    <w:rsid w:val="0064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869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lossaryTerm">
    <w:name w:val="Glossary Term"/>
    <w:basedOn w:val="Normal"/>
    <w:link w:val="GlossaryTermChar"/>
    <w:rsid w:val="004F69E3"/>
    <w:pPr>
      <w:spacing w:line="240" w:lineRule="auto"/>
    </w:pPr>
    <w:rPr>
      <w:rFonts w:eastAsia="Calibri" w:cs="Calibri"/>
      <w:b/>
      <w:color w:val="323E4F" w:themeColor="text2" w:themeShade="BF"/>
      <w:szCs w:val="26"/>
    </w:rPr>
  </w:style>
  <w:style w:type="character" w:customStyle="1" w:styleId="GlossaryTermChar">
    <w:name w:val="Glossary Term Char"/>
    <w:basedOn w:val="DefaultParagraphFont"/>
    <w:link w:val="GlossaryTerm"/>
    <w:rsid w:val="004F69E3"/>
    <w:rPr>
      <w:rFonts w:ascii="Arial Nova" w:eastAsia="Calibri" w:hAnsi="Arial Nova" w:cs="Calibri"/>
      <w:b/>
      <w:color w:val="323E4F" w:themeColor="text2" w:themeShade="BF"/>
      <w:sz w:val="24"/>
      <w:szCs w:val="26"/>
    </w:rPr>
  </w:style>
  <w:style w:type="table" w:styleId="GridTable1Light">
    <w:name w:val="Grid Table 1 Light"/>
    <w:basedOn w:val="TableNormal"/>
    <w:uiPriority w:val="46"/>
    <w:rsid w:val="00CE1D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2546AB"/>
    <w:pPr>
      <w:spacing w:after="0" w:line="240" w:lineRule="auto"/>
    </w:pPr>
    <w:tblPr>
      <w:tblStyleRowBandSize w:val="1"/>
      <w:tblStyleColBandSize w:val="1"/>
      <w:tblBorders>
        <w:top w:val="single" w:sz="4" w:space="0" w:color="D0DF00" w:themeColor="accent1"/>
        <w:left w:val="single" w:sz="4" w:space="0" w:color="D0DF00" w:themeColor="accent1"/>
        <w:bottom w:val="single" w:sz="4" w:space="0" w:color="D0DF00" w:themeColor="accent1"/>
        <w:right w:val="single" w:sz="4" w:space="0" w:color="D0DF00" w:themeColor="accent1"/>
      </w:tblBorders>
    </w:tblPr>
    <w:tblStylePr w:type="firstRow">
      <w:rPr>
        <w:b/>
        <w:bCs/>
        <w:color w:val="FFFFFF" w:themeColor="background1"/>
      </w:rPr>
      <w:tblPr/>
      <w:tcPr>
        <w:shd w:val="clear" w:color="auto" w:fill="D0DF00" w:themeFill="accent1"/>
      </w:tcPr>
    </w:tblStylePr>
    <w:tblStylePr w:type="lastRow">
      <w:rPr>
        <w:b/>
        <w:bCs/>
      </w:rPr>
      <w:tblPr/>
      <w:tcPr>
        <w:tcBorders>
          <w:top w:val="double" w:sz="4" w:space="0" w:color="D0DF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DF00" w:themeColor="accent1"/>
          <w:right w:val="single" w:sz="4" w:space="0" w:color="D0DF00" w:themeColor="accent1"/>
        </w:tcBorders>
      </w:tcPr>
    </w:tblStylePr>
    <w:tblStylePr w:type="band1Horz">
      <w:tblPr/>
      <w:tcPr>
        <w:tcBorders>
          <w:top w:val="single" w:sz="4" w:space="0" w:color="D0DF00" w:themeColor="accent1"/>
          <w:bottom w:val="single" w:sz="4" w:space="0" w:color="D0DF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DF00" w:themeColor="accent1"/>
          <w:left w:val="nil"/>
        </w:tcBorders>
      </w:tcPr>
    </w:tblStylePr>
    <w:tblStylePr w:type="swCell">
      <w:tblPr/>
      <w:tcPr>
        <w:tcBorders>
          <w:top w:val="double" w:sz="4" w:space="0" w:color="D0DF00" w:themeColor="accent1"/>
          <w:right w:val="nil"/>
        </w:tcBorders>
      </w:tcPr>
    </w:tblStylePr>
  </w:style>
  <w:style w:type="character" w:styleId="CommentReference">
    <w:name w:val="annotation reference"/>
    <w:basedOn w:val="DefaultParagraphFont"/>
    <w:uiPriority w:val="99"/>
    <w:semiHidden/>
    <w:unhideWhenUsed/>
    <w:rsid w:val="00B3452D"/>
    <w:rPr>
      <w:sz w:val="16"/>
      <w:szCs w:val="16"/>
    </w:rPr>
  </w:style>
  <w:style w:type="paragraph" w:styleId="CommentText">
    <w:name w:val="annotation text"/>
    <w:basedOn w:val="Normal"/>
    <w:link w:val="CommentTextChar"/>
    <w:uiPriority w:val="99"/>
    <w:unhideWhenUsed/>
    <w:rsid w:val="004F69E3"/>
    <w:rPr>
      <w:rFonts w:cs="Calibri"/>
      <w:sz w:val="20"/>
      <w:szCs w:val="20"/>
      <w:lang w:eastAsia="en-AU"/>
    </w:rPr>
  </w:style>
  <w:style w:type="character" w:customStyle="1" w:styleId="CommentTextChar">
    <w:name w:val="Comment Text Char"/>
    <w:basedOn w:val="DefaultParagraphFont"/>
    <w:link w:val="CommentText"/>
    <w:uiPriority w:val="99"/>
    <w:rsid w:val="004F69E3"/>
    <w:rPr>
      <w:rFonts w:ascii="Arial Nova" w:hAnsi="Arial Nova" w:cs="Calibri"/>
      <w:sz w:val="20"/>
      <w:szCs w:val="20"/>
      <w:lang w:eastAsia="en-AU"/>
    </w:rPr>
  </w:style>
  <w:style w:type="paragraph" w:styleId="CommentSubject">
    <w:name w:val="annotation subject"/>
    <w:basedOn w:val="CommentText"/>
    <w:next w:val="CommentText"/>
    <w:link w:val="CommentSubjectChar"/>
    <w:uiPriority w:val="99"/>
    <w:semiHidden/>
    <w:unhideWhenUsed/>
    <w:rsid w:val="00B3452D"/>
    <w:rPr>
      <w:b/>
      <w:bCs/>
    </w:rPr>
  </w:style>
  <w:style w:type="character" w:customStyle="1" w:styleId="CommentSubjectChar">
    <w:name w:val="Comment Subject Char"/>
    <w:basedOn w:val="CommentTextChar"/>
    <w:link w:val="CommentSubject"/>
    <w:uiPriority w:val="99"/>
    <w:semiHidden/>
    <w:rsid w:val="00B3452D"/>
    <w:rPr>
      <w:rFonts w:ascii="Arial Nova" w:hAnsi="Arial Nova" w:cs="Calibri"/>
      <w:b/>
      <w:bCs/>
      <w:sz w:val="20"/>
      <w:szCs w:val="20"/>
      <w:lang w:eastAsia="en-AU"/>
    </w:rPr>
  </w:style>
  <w:style w:type="paragraph" w:styleId="FootnoteText">
    <w:name w:val="footnote text"/>
    <w:basedOn w:val="Normal"/>
    <w:link w:val="FootnoteTextChar"/>
    <w:uiPriority w:val="99"/>
    <w:unhideWhenUsed/>
    <w:rsid w:val="004F69E3"/>
    <w:rPr>
      <w:sz w:val="20"/>
      <w:szCs w:val="20"/>
    </w:rPr>
  </w:style>
  <w:style w:type="character" w:customStyle="1" w:styleId="FootnoteTextChar">
    <w:name w:val="Footnote Text Char"/>
    <w:basedOn w:val="DefaultParagraphFont"/>
    <w:link w:val="FootnoteText"/>
    <w:uiPriority w:val="99"/>
    <w:rsid w:val="004F69E3"/>
    <w:rPr>
      <w:rFonts w:ascii="Arial Nova" w:eastAsia="Times New Roman" w:hAnsi="Arial Nova"/>
      <w:sz w:val="20"/>
      <w:szCs w:val="20"/>
    </w:rPr>
  </w:style>
  <w:style w:type="character" w:styleId="FootnoteReference">
    <w:name w:val="footnote reference"/>
    <w:basedOn w:val="DefaultParagraphFont"/>
    <w:uiPriority w:val="99"/>
    <w:semiHidden/>
    <w:unhideWhenUsed/>
    <w:rsid w:val="00442AC9"/>
    <w:rPr>
      <w:vertAlign w:val="superscript"/>
    </w:rPr>
  </w:style>
  <w:style w:type="paragraph" w:styleId="BalloonText">
    <w:name w:val="Balloon Text"/>
    <w:basedOn w:val="Normal"/>
    <w:link w:val="BalloonTextChar"/>
    <w:uiPriority w:val="99"/>
    <w:semiHidden/>
    <w:unhideWhenUsed/>
    <w:rsid w:val="00DE2BD8"/>
    <w:rPr>
      <w:sz w:val="18"/>
      <w:szCs w:val="18"/>
      <w:lang w:eastAsia="en-AU"/>
    </w:rPr>
  </w:style>
  <w:style w:type="character" w:customStyle="1" w:styleId="BalloonTextChar">
    <w:name w:val="Balloon Text Char"/>
    <w:basedOn w:val="DefaultParagraphFont"/>
    <w:link w:val="BalloonText"/>
    <w:uiPriority w:val="99"/>
    <w:semiHidden/>
    <w:rsid w:val="00DE2BD8"/>
    <w:rPr>
      <w:rFonts w:ascii="Times New Roman" w:hAnsi="Times New Roman" w:cs="Times New Roman"/>
      <w:sz w:val="18"/>
      <w:szCs w:val="18"/>
      <w:lang w:eastAsia="en-AU"/>
    </w:rPr>
  </w:style>
  <w:style w:type="character" w:styleId="Hyperlink">
    <w:name w:val="Hyperlink"/>
    <w:basedOn w:val="DefaultParagraphFont"/>
    <w:uiPriority w:val="99"/>
    <w:unhideWhenUsed/>
    <w:rsid w:val="004F69E3"/>
    <w:rPr>
      <w:color w:val="0000FF"/>
      <w:u w:val="single"/>
    </w:rPr>
  </w:style>
  <w:style w:type="character" w:styleId="FollowedHyperlink">
    <w:name w:val="FollowedHyperlink"/>
    <w:basedOn w:val="DefaultParagraphFont"/>
    <w:uiPriority w:val="99"/>
    <w:semiHidden/>
    <w:unhideWhenUsed/>
    <w:rsid w:val="00F50119"/>
    <w:rPr>
      <w:color w:val="954F72" w:themeColor="followedHyperlink"/>
      <w:u w:val="single"/>
    </w:rPr>
  </w:style>
  <w:style w:type="paragraph" w:styleId="TOCHeading">
    <w:name w:val="TOC Heading"/>
    <w:basedOn w:val="Heading1"/>
    <w:next w:val="Normal"/>
    <w:uiPriority w:val="39"/>
    <w:unhideWhenUsed/>
    <w:qFormat/>
    <w:rsid w:val="001867EB"/>
    <w:rPr>
      <w:color w:val="44546A" w:themeColor="text2"/>
    </w:rPr>
  </w:style>
  <w:style w:type="paragraph" w:styleId="TOC1">
    <w:name w:val="toc 1"/>
    <w:basedOn w:val="Normal"/>
    <w:next w:val="Normal"/>
    <w:autoRedefine/>
    <w:uiPriority w:val="39"/>
    <w:unhideWhenUsed/>
    <w:rsid w:val="00083714"/>
    <w:pPr>
      <w:tabs>
        <w:tab w:val="right" w:leader="dot" w:pos="9016"/>
      </w:tabs>
      <w:spacing w:after="100"/>
    </w:pPr>
  </w:style>
  <w:style w:type="paragraph" w:styleId="TOC2">
    <w:name w:val="toc 2"/>
    <w:basedOn w:val="Normal"/>
    <w:next w:val="Normal"/>
    <w:autoRedefine/>
    <w:uiPriority w:val="39"/>
    <w:unhideWhenUsed/>
    <w:rsid w:val="007C212A"/>
    <w:pPr>
      <w:spacing w:after="100"/>
      <w:ind w:left="220"/>
    </w:pPr>
  </w:style>
  <w:style w:type="paragraph" w:styleId="TOC3">
    <w:name w:val="toc 3"/>
    <w:basedOn w:val="Normal"/>
    <w:next w:val="Normal"/>
    <w:autoRedefine/>
    <w:uiPriority w:val="39"/>
    <w:unhideWhenUsed/>
    <w:rsid w:val="007C212A"/>
    <w:pPr>
      <w:spacing w:after="100"/>
      <w:ind w:left="440"/>
    </w:pPr>
  </w:style>
  <w:style w:type="table" w:styleId="PlainTable2">
    <w:name w:val="Plain Table 2"/>
    <w:basedOn w:val="TableNormal"/>
    <w:uiPriority w:val="42"/>
    <w:rsid w:val="00C855BE"/>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C855BE"/>
    <w:rPr>
      <w:b/>
      <w:bCs/>
    </w:rPr>
  </w:style>
  <w:style w:type="paragraph" w:styleId="Revision">
    <w:name w:val="Revision"/>
    <w:hidden/>
    <w:uiPriority w:val="99"/>
    <w:semiHidden/>
    <w:rsid w:val="00C855BE"/>
    <w:pPr>
      <w:spacing w:after="0" w:line="240" w:lineRule="auto"/>
    </w:pPr>
    <w:rPr>
      <w:rFonts w:ascii="Arial Nova Light" w:eastAsia="Calibri" w:hAnsi="Arial Nova Light" w:cs="Calibri"/>
      <w:lang w:val="en-US"/>
    </w:rPr>
  </w:style>
  <w:style w:type="table" w:styleId="GridTable2-Accent2">
    <w:name w:val="Grid Table 2 Accent 2"/>
    <w:basedOn w:val="TableNormal"/>
    <w:uiPriority w:val="47"/>
    <w:rsid w:val="00C855BE"/>
    <w:pPr>
      <w:spacing w:after="0" w:line="240" w:lineRule="auto"/>
    </w:pPr>
    <w:rPr>
      <w:rFonts w:eastAsia="Calibri"/>
    </w:rPr>
    <w:tblPr>
      <w:tblStyleRowBandSize w:val="1"/>
      <w:tblStyleColBandSize w:val="1"/>
      <w:tblBorders>
        <w:top w:val="single" w:sz="2" w:space="0" w:color="FCBDA9" w:themeColor="accent2" w:themeTint="99"/>
        <w:bottom w:val="single" w:sz="2" w:space="0" w:color="FCBDA9" w:themeColor="accent2" w:themeTint="99"/>
        <w:insideH w:val="single" w:sz="2" w:space="0" w:color="FCBDA9" w:themeColor="accent2" w:themeTint="99"/>
        <w:insideV w:val="single" w:sz="2" w:space="0" w:color="FCBDA9" w:themeColor="accent2" w:themeTint="99"/>
      </w:tblBorders>
    </w:tblPr>
    <w:tblStylePr w:type="firstRow">
      <w:rPr>
        <w:b/>
        <w:bCs/>
      </w:rPr>
      <w:tblPr/>
      <w:tcPr>
        <w:tcBorders>
          <w:top w:val="nil"/>
          <w:bottom w:val="single" w:sz="12" w:space="0" w:color="FCBDA9" w:themeColor="accent2" w:themeTint="99"/>
          <w:insideH w:val="nil"/>
          <w:insideV w:val="nil"/>
        </w:tcBorders>
        <w:shd w:val="clear" w:color="auto" w:fill="FFFFFF" w:themeFill="background1"/>
      </w:tcPr>
    </w:tblStylePr>
    <w:tblStylePr w:type="lastRow">
      <w:rPr>
        <w:b/>
        <w:bCs/>
      </w:rPr>
      <w:tblPr/>
      <w:tcPr>
        <w:tcBorders>
          <w:top w:val="double" w:sz="2" w:space="0" w:color="FCBD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9E2" w:themeFill="accent2" w:themeFillTint="33"/>
      </w:tcPr>
    </w:tblStylePr>
    <w:tblStylePr w:type="band1Horz">
      <w:tblPr/>
      <w:tcPr>
        <w:shd w:val="clear" w:color="auto" w:fill="FEE9E2" w:themeFill="accent2" w:themeFillTint="33"/>
      </w:tcPr>
    </w:tblStylePr>
  </w:style>
  <w:style w:type="table" w:styleId="GridTable4-Accent2">
    <w:name w:val="Grid Table 4 Accent 2"/>
    <w:basedOn w:val="TableNormal"/>
    <w:uiPriority w:val="49"/>
    <w:rsid w:val="00C855BE"/>
    <w:pPr>
      <w:spacing w:after="0" w:line="240" w:lineRule="auto"/>
    </w:pPr>
    <w:rPr>
      <w:rFonts w:eastAsia="Calibri"/>
    </w:rPr>
    <w:tblPr>
      <w:tblStyleRowBandSize w:val="1"/>
      <w:tblStyleColBandSize w:val="1"/>
      <w:tblBorders>
        <w:top w:val="single" w:sz="4" w:space="0" w:color="FCBDA9" w:themeColor="accent2" w:themeTint="99"/>
        <w:left w:val="single" w:sz="4" w:space="0" w:color="FCBDA9" w:themeColor="accent2" w:themeTint="99"/>
        <w:bottom w:val="single" w:sz="4" w:space="0" w:color="FCBDA9" w:themeColor="accent2" w:themeTint="99"/>
        <w:right w:val="single" w:sz="4" w:space="0" w:color="FCBDA9" w:themeColor="accent2" w:themeTint="99"/>
        <w:insideH w:val="single" w:sz="4" w:space="0" w:color="FCBDA9" w:themeColor="accent2" w:themeTint="99"/>
        <w:insideV w:val="single" w:sz="4" w:space="0" w:color="FCBDA9" w:themeColor="accent2" w:themeTint="99"/>
      </w:tblBorders>
    </w:tblPr>
    <w:tblStylePr w:type="firstRow">
      <w:rPr>
        <w:b/>
        <w:bCs/>
        <w:color w:val="FFFFFF" w:themeColor="background1"/>
      </w:rPr>
      <w:tblPr/>
      <w:tcPr>
        <w:tcBorders>
          <w:top w:val="single" w:sz="4" w:space="0" w:color="FA9370" w:themeColor="accent2"/>
          <w:left w:val="single" w:sz="4" w:space="0" w:color="FA9370" w:themeColor="accent2"/>
          <w:bottom w:val="single" w:sz="4" w:space="0" w:color="FA9370" w:themeColor="accent2"/>
          <w:right w:val="single" w:sz="4" w:space="0" w:color="FA9370" w:themeColor="accent2"/>
          <w:insideH w:val="nil"/>
          <w:insideV w:val="nil"/>
        </w:tcBorders>
        <w:shd w:val="clear" w:color="auto" w:fill="FA9370" w:themeFill="accent2"/>
      </w:tcPr>
    </w:tblStylePr>
    <w:tblStylePr w:type="lastRow">
      <w:rPr>
        <w:b/>
        <w:bCs/>
      </w:rPr>
      <w:tblPr/>
      <w:tcPr>
        <w:tcBorders>
          <w:top w:val="double" w:sz="4" w:space="0" w:color="FA9370" w:themeColor="accent2"/>
        </w:tcBorders>
      </w:tcPr>
    </w:tblStylePr>
    <w:tblStylePr w:type="firstCol">
      <w:rPr>
        <w:b/>
        <w:bCs/>
      </w:rPr>
    </w:tblStylePr>
    <w:tblStylePr w:type="lastCol">
      <w:rPr>
        <w:b/>
        <w:bCs/>
      </w:rPr>
    </w:tblStylePr>
    <w:tblStylePr w:type="band1Vert">
      <w:tblPr/>
      <w:tcPr>
        <w:shd w:val="clear" w:color="auto" w:fill="FEE9E2" w:themeFill="accent2" w:themeFillTint="33"/>
      </w:tcPr>
    </w:tblStylePr>
    <w:tblStylePr w:type="band1Horz">
      <w:tblPr/>
      <w:tcPr>
        <w:shd w:val="clear" w:color="auto" w:fill="FEE9E2" w:themeFill="accent2" w:themeFillTint="33"/>
      </w:tcPr>
    </w:tblStylePr>
  </w:style>
  <w:style w:type="table" w:styleId="GridTable1Light-Accent1">
    <w:name w:val="Grid Table 1 Light Accent 1"/>
    <w:aliases w:val="CFRE Accessible Table"/>
    <w:basedOn w:val="TableNormal"/>
    <w:uiPriority w:val="46"/>
    <w:rsid w:val="00121059"/>
    <w:pPr>
      <w:spacing w:after="0" w:line="240" w:lineRule="auto"/>
    </w:pPr>
    <w:tblPr>
      <w:tblStyleRowBandSize w:val="1"/>
      <w:tblStyleColBandSize w:val="1"/>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CellMar>
        <w:top w:w="57" w:type="dxa"/>
        <w:bottom w:w="57" w:type="dxa"/>
      </w:tblCellMar>
    </w:tblPr>
    <w:tblStylePr w:type="firstRow">
      <w:rPr>
        <w:b/>
        <w:bCs/>
        <w:color w:val="auto"/>
      </w:rPr>
      <w:tblPr/>
      <w:tcPr>
        <w:tcBorders>
          <w:bottom w:val="nil"/>
        </w:tcBorders>
      </w:tcPr>
    </w:tblStylePr>
    <w:tblStylePr w:type="lastRow">
      <w:rPr>
        <w:b/>
        <w:bCs/>
      </w:rPr>
      <w:tblPr/>
      <w:tcPr>
        <w:tcBorders>
          <w:top w:val="double" w:sz="2" w:space="0" w:color="F2FF52" w:themeColor="accent1" w:themeTint="99"/>
        </w:tcBorders>
      </w:tcPr>
    </w:tblStylePr>
    <w:tblStylePr w:type="firstCol">
      <w:rPr>
        <w:b/>
        <w:bCs/>
        <w:color w:val="auto"/>
      </w:rPr>
    </w:tblStylePr>
    <w:tblStylePr w:type="lastCol">
      <w:rPr>
        <w:b/>
        <w:bCs/>
      </w:rPr>
    </w:tblStylePr>
  </w:style>
  <w:style w:type="paragraph" w:customStyle="1" w:styleId="ImageDescription">
    <w:name w:val="Image Description"/>
    <w:basedOn w:val="Normal"/>
    <w:qFormat/>
    <w:rsid w:val="00437BD0"/>
    <w:pPr>
      <w:keepNext/>
      <w:keepLines/>
      <w:pBdr>
        <w:top w:val="single" w:sz="8" w:space="4" w:color="E3F3F6" w:themeColor="accent3" w:themeTint="33"/>
        <w:left w:val="single" w:sz="8" w:space="4" w:color="E3F3F6" w:themeColor="accent3" w:themeTint="33"/>
        <w:bottom w:val="single" w:sz="8" w:space="4" w:color="E3F3F6" w:themeColor="accent3" w:themeTint="33"/>
        <w:right w:val="single" w:sz="8" w:space="4" w:color="E3F3F6" w:themeColor="accent3" w:themeTint="33"/>
      </w:pBdr>
      <w:shd w:val="clear" w:color="auto" w:fill="C8E7EE" w:themeFill="accent3" w:themeFillTint="66"/>
    </w:pPr>
    <w:rPr>
      <w:color w:val="000000"/>
    </w:rPr>
  </w:style>
  <w:style w:type="character" w:styleId="UnresolvedMention">
    <w:name w:val="Unresolved Mention"/>
    <w:basedOn w:val="DefaultParagraphFont"/>
    <w:uiPriority w:val="99"/>
    <w:unhideWhenUsed/>
    <w:rsid w:val="00C6206C"/>
    <w:rPr>
      <w:color w:val="605E5C"/>
      <w:shd w:val="clear" w:color="auto" w:fill="E1DFDD"/>
    </w:rPr>
  </w:style>
  <w:style w:type="character" w:styleId="PlaceholderText">
    <w:name w:val="Placeholder Text"/>
    <w:uiPriority w:val="99"/>
    <w:semiHidden/>
    <w:rsid w:val="003C7A3D"/>
  </w:style>
  <w:style w:type="paragraph" w:styleId="Header">
    <w:name w:val="header"/>
    <w:basedOn w:val="Normal"/>
    <w:link w:val="HeaderChar"/>
    <w:uiPriority w:val="99"/>
    <w:unhideWhenUsed/>
    <w:rsid w:val="000B7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AE8"/>
  </w:style>
  <w:style w:type="table" w:styleId="ListTable3-Accent3">
    <w:name w:val="List Table 3 Accent 3"/>
    <w:basedOn w:val="TableNormal"/>
    <w:uiPriority w:val="48"/>
    <w:rsid w:val="009F0242"/>
    <w:pPr>
      <w:keepLines/>
      <w:spacing w:line="276" w:lineRule="auto"/>
      <w:jc w:val="right"/>
    </w:pPr>
    <w:rPr>
      <w:rFonts w:ascii="Archia" w:eastAsiaTheme="minorEastAsia" w:hAnsi="Archia"/>
      <w:sz w:val="20"/>
      <w:szCs w:val="20"/>
      <w:lang w:eastAsia="zh-CN"/>
    </w:rPr>
    <w:tblPr>
      <w:tblStyleRowBandSize w:val="1"/>
      <w:tblStyleColBandSize w:val="1"/>
      <w:tblBorders>
        <w:top w:val="single" w:sz="4" w:space="0" w:color="77C5D5" w:themeColor="accent3"/>
        <w:left w:val="single" w:sz="4" w:space="0" w:color="77C5D5" w:themeColor="accent3"/>
        <w:bottom w:val="single" w:sz="4" w:space="0" w:color="77C5D5" w:themeColor="accent3"/>
        <w:right w:val="single" w:sz="4" w:space="0" w:color="77C5D5" w:themeColor="accent3"/>
      </w:tblBorders>
      <w:tblCellMar>
        <w:top w:w="57" w:type="dxa"/>
        <w:bottom w:w="57" w:type="dxa"/>
      </w:tblCellMar>
    </w:tblPr>
    <w:trPr>
      <w:cantSplit/>
    </w:trPr>
    <w:tblStylePr w:type="firstRow">
      <w:pPr>
        <w:jc w:val="left"/>
      </w:pPr>
      <w:rPr>
        <w:rFonts w:asciiTheme="majorHAnsi" w:hAnsiTheme="majorHAnsi"/>
        <w:b w:val="0"/>
        <w:bCs/>
        <w:color w:val="000000" w:themeColor="text1"/>
      </w:rPr>
      <w:tblPr/>
      <w:tcPr>
        <w:shd w:val="clear" w:color="auto" w:fill="77C5D5" w:themeFill="accent3"/>
        <w:vAlign w:val="bottom"/>
      </w:tcPr>
    </w:tblStylePr>
    <w:tblStylePr w:type="lastRow">
      <w:rPr>
        <w:rFonts w:asciiTheme="majorHAnsi" w:hAnsiTheme="majorHAnsi"/>
        <w:b w:val="0"/>
        <w:bCs/>
      </w:rPr>
      <w:tblPr/>
      <w:tcPr>
        <w:shd w:val="clear" w:color="auto" w:fill="77C5D5" w:themeFill="accent3"/>
      </w:tcPr>
    </w:tblStylePr>
    <w:tblStylePr w:type="firstCol">
      <w:pPr>
        <w:jc w:val="left"/>
      </w:pPr>
      <w:rPr>
        <w:rFonts w:asciiTheme="majorHAnsi" w:hAnsiTheme="majorHAnsi"/>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7C5D5" w:themeColor="accent3"/>
          <w:right w:val="single" w:sz="4" w:space="0" w:color="77C5D5" w:themeColor="accent3"/>
        </w:tcBorders>
      </w:tcPr>
    </w:tblStylePr>
    <w:tblStylePr w:type="band1Horz">
      <w:tblPr/>
      <w:tcPr>
        <w:tcBorders>
          <w:top w:val="single" w:sz="4" w:space="0" w:color="77C5D5" w:themeColor="accent3"/>
          <w:bottom w:val="single" w:sz="4" w:space="0" w:color="77C5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7C5D5" w:themeColor="accent3"/>
          <w:left w:val="nil"/>
        </w:tcBorders>
      </w:tcPr>
    </w:tblStylePr>
    <w:tblStylePr w:type="swCell">
      <w:tblPr/>
      <w:tcPr>
        <w:tcBorders>
          <w:top w:val="double" w:sz="4" w:space="0" w:color="77C5D5" w:themeColor="accent3"/>
          <w:right w:val="nil"/>
        </w:tcBorders>
      </w:tcPr>
    </w:tblStylePr>
  </w:style>
  <w:style w:type="paragraph" w:customStyle="1" w:styleId="Sub-subtitle">
    <w:name w:val="Sub-subtitle"/>
    <w:basedOn w:val="Subtitle"/>
    <w:qFormat/>
    <w:rsid w:val="004F7542"/>
    <w:rPr>
      <w:b/>
      <w:sz w:val="36"/>
    </w:rPr>
  </w:style>
  <w:style w:type="paragraph" w:styleId="Caption">
    <w:name w:val="caption"/>
    <w:basedOn w:val="Normal"/>
    <w:next w:val="Normal"/>
    <w:uiPriority w:val="35"/>
    <w:unhideWhenUsed/>
    <w:qFormat/>
    <w:rsid w:val="00B14B2E"/>
    <w:pPr>
      <w:spacing w:line="240" w:lineRule="auto"/>
    </w:pPr>
    <w:rPr>
      <w:rFonts w:ascii="Archia" w:eastAsiaTheme="minorEastAsia" w:hAnsi="Archia"/>
      <w:b/>
      <w:bCs/>
      <w:smallCaps/>
      <w:color w:val="44546A" w:themeColor="text2"/>
      <w:sz w:val="20"/>
      <w:szCs w:val="20"/>
      <w:lang w:eastAsia="zh-CN"/>
    </w:rPr>
  </w:style>
  <w:style w:type="paragraph" w:customStyle="1" w:styleId="TableFigureHeading">
    <w:name w:val="Table/Figure Heading"/>
    <w:basedOn w:val="Normal"/>
    <w:next w:val="Normal"/>
    <w:qFormat/>
    <w:rsid w:val="00B14B2E"/>
    <w:pPr>
      <w:spacing w:line="360" w:lineRule="auto"/>
    </w:pPr>
    <w:rPr>
      <w:rFonts w:asciiTheme="majorHAnsi" w:eastAsiaTheme="minorEastAsia" w:hAnsiTheme="majorHAnsi"/>
      <w:sz w:val="18"/>
      <w:szCs w:val="18"/>
      <w:lang w:eastAsia="zh-CN"/>
    </w:rPr>
  </w:style>
  <w:style w:type="character" w:styleId="Mention">
    <w:name w:val="Mention"/>
    <w:basedOn w:val="DefaultParagraphFont"/>
    <w:uiPriority w:val="99"/>
    <w:unhideWhenUsed/>
    <w:rsid w:val="00B14B2E"/>
    <w:rPr>
      <w:color w:val="2B579A"/>
      <w:shd w:val="clear" w:color="auto" w:fill="E1DFDD"/>
    </w:rPr>
  </w:style>
  <w:style w:type="paragraph" w:styleId="NormalWeb">
    <w:name w:val="Normal (Web)"/>
    <w:basedOn w:val="Normal"/>
    <w:uiPriority w:val="99"/>
    <w:semiHidden/>
    <w:unhideWhenUsed/>
    <w:rsid w:val="00B14B2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uoteAttribution">
    <w:name w:val="Quote Attribution"/>
    <w:basedOn w:val="Quote"/>
    <w:next w:val="Normal"/>
    <w:qFormat/>
    <w:rsid w:val="006B6AB1"/>
    <w:pPr>
      <w:jc w:val="right"/>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3463">
      <w:bodyDiv w:val="1"/>
      <w:marLeft w:val="0"/>
      <w:marRight w:val="0"/>
      <w:marTop w:val="0"/>
      <w:marBottom w:val="0"/>
      <w:divBdr>
        <w:top w:val="none" w:sz="0" w:space="0" w:color="auto"/>
        <w:left w:val="none" w:sz="0" w:space="0" w:color="auto"/>
        <w:bottom w:val="none" w:sz="0" w:space="0" w:color="auto"/>
        <w:right w:val="none" w:sz="0" w:space="0" w:color="auto"/>
      </w:divBdr>
      <w:divsChild>
        <w:div w:id="611788349">
          <w:marLeft w:val="0"/>
          <w:marRight w:val="0"/>
          <w:marTop w:val="0"/>
          <w:marBottom w:val="0"/>
          <w:divBdr>
            <w:top w:val="none" w:sz="0" w:space="0" w:color="auto"/>
            <w:left w:val="none" w:sz="0" w:space="0" w:color="auto"/>
            <w:bottom w:val="none" w:sz="0" w:space="0" w:color="auto"/>
            <w:right w:val="none" w:sz="0" w:space="0" w:color="auto"/>
          </w:divBdr>
          <w:divsChild>
            <w:div w:id="195969480">
              <w:marLeft w:val="0"/>
              <w:marRight w:val="0"/>
              <w:marTop w:val="0"/>
              <w:marBottom w:val="0"/>
              <w:divBdr>
                <w:top w:val="none" w:sz="0" w:space="0" w:color="auto"/>
                <w:left w:val="none" w:sz="0" w:space="0" w:color="auto"/>
                <w:bottom w:val="none" w:sz="0" w:space="0" w:color="auto"/>
                <w:right w:val="none" w:sz="0" w:space="0" w:color="auto"/>
              </w:divBdr>
              <w:divsChild>
                <w:div w:id="15851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20463">
      <w:bodyDiv w:val="1"/>
      <w:marLeft w:val="0"/>
      <w:marRight w:val="0"/>
      <w:marTop w:val="0"/>
      <w:marBottom w:val="0"/>
      <w:divBdr>
        <w:top w:val="none" w:sz="0" w:space="0" w:color="auto"/>
        <w:left w:val="none" w:sz="0" w:space="0" w:color="auto"/>
        <w:bottom w:val="none" w:sz="0" w:space="0" w:color="auto"/>
        <w:right w:val="none" w:sz="0" w:space="0" w:color="auto"/>
      </w:divBdr>
    </w:div>
    <w:div w:id="285016078">
      <w:bodyDiv w:val="1"/>
      <w:marLeft w:val="0"/>
      <w:marRight w:val="0"/>
      <w:marTop w:val="0"/>
      <w:marBottom w:val="0"/>
      <w:divBdr>
        <w:top w:val="none" w:sz="0" w:space="0" w:color="auto"/>
        <w:left w:val="none" w:sz="0" w:space="0" w:color="auto"/>
        <w:bottom w:val="none" w:sz="0" w:space="0" w:color="auto"/>
        <w:right w:val="none" w:sz="0" w:space="0" w:color="auto"/>
      </w:divBdr>
    </w:div>
    <w:div w:id="1043016739">
      <w:bodyDiv w:val="1"/>
      <w:marLeft w:val="0"/>
      <w:marRight w:val="0"/>
      <w:marTop w:val="0"/>
      <w:marBottom w:val="0"/>
      <w:divBdr>
        <w:top w:val="none" w:sz="0" w:space="0" w:color="auto"/>
        <w:left w:val="none" w:sz="0" w:space="0" w:color="auto"/>
        <w:bottom w:val="none" w:sz="0" w:space="0" w:color="auto"/>
        <w:right w:val="none" w:sz="0" w:space="0" w:color="auto"/>
      </w:divBdr>
    </w:div>
    <w:div w:id="1219560436">
      <w:bodyDiv w:val="1"/>
      <w:marLeft w:val="0"/>
      <w:marRight w:val="0"/>
      <w:marTop w:val="0"/>
      <w:marBottom w:val="0"/>
      <w:divBdr>
        <w:top w:val="none" w:sz="0" w:space="0" w:color="auto"/>
        <w:left w:val="none" w:sz="0" w:space="0" w:color="auto"/>
        <w:bottom w:val="none" w:sz="0" w:space="0" w:color="auto"/>
        <w:right w:val="none" w:sz="0" w:space="0" w:color="auto"/>
      </w:divBdr>
    </w:div>
    <w:div w:id="1276012911">
      <w:bodyDiv w:val="1"/>
      <w:marLeft w:val="0"/>
      <w:marRight w:val="0"/>
      <w:marTop w:val="0"/>
      <w:marBottom w:val="0"/>
      <w:divBdr>
        <w:top w:val="none" w:sz="0" w:space="0" w:color="auto"/>
        <w:left w:val="none" w:sz="0" w:space="0" w:color="auto"/>
        <w:bottom w:val="none" w:sz="0" w:space="0" w:color="auto"/>
        <w:right w:val="none" w:sz="0" w:space="0" w:color="auto"/>
      </w:divBdr>
    </w:div>
    <w:div w:id="1390500189">
      <w:bodyDiv w:val="1"/>
      <w:marLeft w:val="0"/>
      <w:marRight w:val="0"/>
      <w:marTop w:val="0"/>
      <w:marBottom w:val="0"/>
      <w:divBdr>
        <w:top w:val="none" w:sz="0" w:space="0" w:color="auto"/>
        <w:left w:val="none" w:sz="0" w:space="0" w:color="auto"/>
        <w:bottom w:val="none" w:sz="0" w:space="0" w:color="auto"/>
        <w:right w:val="none" w:sz="0" w:space="0" w:color="auto"/>
      </w:divBdr>
    </w:div>
    <w:div w:id="1516460127">
      <w:bodyDiv w:val="1"/>
      <w:marLeft w:val="0"/>
      <w:marRight w:val="0"/>
      <w:marTop w:val="0"/>
      <w:marBottom w:val="0"/>
      <w:divBdr>
        <w:top w:val="none" w:sz="0" w:space="0" w:color="auto"/>
        <w:left w:val="none" w:sz="0" w:space="0" w:color="auto"/>
        <w:bottom w:val="none" w:sz="0" w:space="0" w:color="auto"/>
        <w:right w:val="none" w:sz="0" w:space="0" w:color="auto"/>
      </w:divBdr>
      <w:divsChild>
        <w:div w:id="26758519">
          <w:marLeft w:val="0"/>
          <w:marRight w:val="0"/>
          <w:marTop w:val="0"/>
          <w:marBottom w:val="0"/>
          <w:divBdr>
            <w:top w:val="none" w:sz="0" w:space="0" w:color="auto"/>
            <w:left w:val="none" w:sz="0" w:space="0" w:color="auto"/>
            <w:bottom w:val="none" w:sz="0" w:space="0" w:color="auto"/>
            <w:right w:val="none" w:sz="0" w:space="0" w:color="auto"/>
          </w:divBdr>
          <w:divsChild>
            <w:div w:id="1559170980">
              <w:marLeft w:val="0"/>
              <w:marRight w:val="0"/>
              <w:marTop w:val="0"/>
              <w:marBottom w:val="0"/>
              <w:divBdr>
                <w:top w:val="none" w:sz="0" w:space="0" w:color="auto"/>
                <w:left w:val="none" w:sz="0" w:space="0" w:color="auto"/>
                <w:bottom w:val="none" w:sz="0" w:space="0" w:color="auto"/>
                <w:right w:val="none" w:sz="0" w:space="0" w:color="auto"/>
              </w:divBdr>
              <w:divsChild>
                <w:div w:id="6003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3987">
      <w:bodyDiv w:val="1"/>
      <w:marLeft w:val="0"/>
      <w:marRight w:val="0"/>
      <w:marTop w:val="0"/>
      <w:marBottom w:val="0"/>
      <w:divBdr>
        <w:top w:val="none" w:sz="0" w:space="0" w:color="auto"/>
        <w:left w:val="none" w:sz="0" w:space="0" w:color="auto"/>
        <w:bottom w:val="none" w:sz="0" w:space="0" w:color="auto"/>
        <w:right w:val="none" w:sz="0" w:space="0" w:color="auto"/>
      </w:divBdr>
    </w:div>
    <w:div w:id="1829128154">
      <w:bodyDiv w:val="1"/>
      <w:marLeft w:val="0"/>
      <w:marRight w:val="0"/>
      <w:marTop w:val="0"/>
      <w:marBottom w:val="0"/>
      <w:divBdr>
        <w:top w:val="none" w:sz="0" w:space="0" w:color="auto"/>
        <w:left w:val="none" w:sz="0" w:space="0" w:color="auto"/>
        <w:bottom w:val="none" w:sz="0" w:space="0" w:color="auto"/>
        <w:right w:val="none" w:sz="0" w:space="0" w:color="auto"/>
      </w:divBdr>
    </w:div>
    <w:div w:id="1834369145">
      <w:bodyDiv w:val="1"/>
      <w:marLeft w:val="0"/>
      <w:marRight w:val="0"/>
      <w:marTop w:val="0"/>
      <w:marBottom w:val="0"/>
      <w:divBdr>
        <w:top w:val="none" w:sz="0" w:space="0" w:color="auto"/>
        <w:left w:val="none" w:sz="0" w:space="0" w:color="auto"/>
        <w:bottom w:val="none" w:sz="0" w:space="0" w:color="auto"/>
        <w:right w:val="none" w:sz="0" w:space="0" w:color="auto"/>
      </w:divBdr>
      <w:divsChild>
        <w:div w:id="855995019">
          <w:marLeft w:val="0"/>
          <w:marRight w:val="0"/>
          <w:marTop w:val="0"/>
          <w:marBottom w:val="0"/>
          <w:divBdr>
            <w:top w:val="none" w:sz="0" w:space="0" w:color="auto"/>
            <w:left w:val="none" w:sz="0" w:space="0" w:color="auto"/>
            <w:bottom w:val="none" w:sz="0" w:space="0" w:color="auto"/>
            <w:right w:val="none" w:sz="0" w:space="0" w:color="auto"/>
          </w:divBdr>
          <w:divsChild>
            <w:div w:id="468329366">
              <w:marLeft w:val="0"/>
              <w:marRight w:val="0"/>
              <w:marTop w:val="0"/>
              <w:marBottom w:val="0"/>
              <w:divBdr>
                <w:top w:val="none" w:sz="0" w:space="0" w:color="auto"/>
                <w:left w:val="none" w:sz="0" w:space="0" w:color="auto"/>
                <w:bottom w:val="none" w:sz="0" w:space="0" w:color="auto"/>
                <w:right w:val="none" w:sz="0" w:space="0" w:color="auto"/>
              </w:divBdr>
              <w:divsChild>
                <w:div w:id="3363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cfre.org.au/future-proofing-safet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upport.microsoft.com/en-us/windows/chapter-7-customizing-narrator-ce950246-c915-0d44-9be6-fb474387a28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4.xml"/></Relationships>
</file>

<file path=word/theme/theme1.xml><?xml version="1.0" encoding="utf-8"?>
<a:theme xmlns:a="http://schemas.openxmlformats.org/drawingml/2006/main" name="CFRE">
  <a:themeElements>
    <a:clrScheme name="CFRE 2021">
      <a:dk1>
        <a:sysClr val="windowText" lastClr="000000"/>
      </a:dk1>
      <a:lt1>
        <a:sysClr val="window" lastClr="FFFFFF"/>
      </a:lt1>
      <a:dk2>
        <a:srgbClr val="44546A"/>
      </a:dk2>
      <a:lt2>
        <a:srgbClr val="E7E6E6"/>
      </a:lt2>
      <a:accent1>
        <a:srgbClr val="D0DF00"/>
      </a:accent1>
      <a:accent2>
        <a:srgbClr val="FA9370"/>
      </a:accent2>
      <a:accent3>
        <a:srgbClr val="77C5D5"/>
      </a:accent3>
      <a:accent4>
        <a:srgbClr val="AD96DC"/>
      </a:accent4>
      <a:accent5>
        <a:srgbClr val="5B9BD5"/>
      </a:accent5>
      <a:accent6>
        <a:srgbClr val="70AD47"/>
      </a:accent6>
      <a:hlink>
        <a:srgbClr val="0563C1"/>
      </a:hlink>
      <a:folHlink>
        <a:srgbClr val="954F72"/>
      </a:folHlink>
    </a:clrScheme>
    <a:fontScheme name="Arial Nova">
      <a:majorFont>
        <a:latin typeface="Arial Nova"/>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0718CE4942742925F2A0762C63548" ma:contentTypeVersion="15" ma:contentTypeDescription="Create a new document." ma:contentTypeScope="" ma:versionID="7892c6c65eacfdedf6dde34c3265127e">
  <xsd:schema xmlns:xsd="http://www.w3.org/2001/XMLSchema" xmlns:xs="http://www.w3.org/2001/XMLSchema" xmlns:p="http://schemas.microsoft.com/office/2006/metadata/properties" xmlns:ns2="11e961f3-cade-46b9-bdcc-fc6e1518cab1" xmlns:ns3="2963fc93-ddc7-46b3-b0ee-188bffce1b4f" targetNamespace="http://schemas.microsoft.com/office/2006/metadata/properties" ma:root="true" ma:fieldsID="e12125d9b8bffe933b86cb1e1ba8d595" ns2:_="" ns3:_="">
    <xsd:import namespace="11e961f3-cade-46b9-bdcc-fc6e1518cab1"/>
    <xsd:import namespace="2963fc93-ddc7-46b3-b0ee-188bffce1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Transcribed"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1f3-cade-46b9-bdcc-fc6e1518c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ranscribed" ma:index="18" nillable="true" ma:displayName="Transcribed" ma:default="0" ma:format="Dropdown" ma:internalName="Transcribed">
      <xsd:simpleType>
        <xsd:restriction base="dms:Boolea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63fc93-ddc7-46b3-b0ee-188bffce1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nscribed xmlns="11e961f3-cade-46b9-bdcc-fc6e1518cab1">false</Transcribed>
    <_Flow_SignoffStatus xmlns="11e961f3-cade-46b9-bdcc-fc6e1518cab1" xsi:nil="true"/>
    <SharedWithUsers xmlns="2963fc93-ddc7-46b3-b0ee-188bffce1b4f">
      <UserInfo>
        <DisplayName>Ellen Poyner</DisplayName>
        <AccountId>30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AF56B-1F7E-4A56-B341-5AEF279C9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961f3-cade-46b9-bdcc-fc6e1518cab1"/>
    <ds:schemaRef ds:uri="2963fc93-ddc7-46b3-b0ee-188bffce1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5D6DB-748D-4923-934C-6B932C01B01C}">
  <ds:schemaRef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2963fc93-ddc7-46b3-b0ee-188bffce1b4f"/>
    <ds:schemaRef ds:uri="11e961f3-cade-46b9-bdcc-fc6e1518cab1"/>
  </ds:schemaRefs>
</ds:datastoreItem>
</file>

<file path=customXml/itemProps3.xml><?xml version="1.0" encoding="utf-8"?>
<ds:datastoreItem xmlns:ds="http://schemas.openxmlformats.org/officeDocument/2006/customXml" ds:itemID="{6ABE1EB9-E109-4E95-B179-72F5047418F3}">
  <ds:schemaRefs>
    <ds:schemaRef ds:uri="http://schemas.openxmlformats.org/officeDocument/2006/bibliography"/>
  </ds:schemaRefs>
</ds:datastoreItem>
</file>

<file path=customXml/itemProps4.xml><?xml version="1.0" encoding="utf-8"?>
<ds:datastoreItem xmlns:ds="http://schemas.openxmlformats.org/officeDocument/2006/customXml" ds:itemID="{938D5C9E-5DCE-453F-A400-5A10F07E1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5441</TotalTime>
  <Pages>12</Pages>
  <Words>21018</Words>
  <Characters>119807</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140544</CharactersWithSpaces>
  <SharedDoc>false</SharedDoc>
  <HLinks>
    <vt:vector size="96" baseType="variant">
      <vt:variant>
        <vt:i4>7733353</vt:i4>
      </vt:variant>
      <vt:variant>
        <vt:i4>78</vt:i4>
      </vt:variant>
      <vt:variant>
        <vt:i4>0</vt:i4>
      </vt:variant>
      <vt:variant>
        <vt:i4>5</vt:i4>
      </vt:variant>
      <vt:variant>
        <vt:lpwstr>https://cfre.org.au/future-proofing-safety/</vt:lpwstr>
      </vt:variant>
      <vt:variant>
        <vt:lpwstr/>
      </vt:variant>
      <vt:variant>
        <vt:i4>1769521</vt:i4>
      </vt:variant>
      <vt:variant>
        <vt:i4>71</vt:i4>
      </vt:variant>
      <vt:variant>
        <vt:i4>0</vt:i4>
      </vt:variant>
      <vt:variant>
        <vt:i4>5</vt:i4>
      </vt:variant>
      <vt:variant>
        <vt:lpwstr/>
      </vt:variant>
      <vt:variant>
        <vt:lpwstr>_Toc95897474</vt:lpwstr>
      </vt:variant>
      <vt:variant>
        <vt:i4>1835057</vt:i4>
      </vt:variant>
      <vt:variant>
        <vt:i4>65</vt:i4>
      </vt:variant>
      <vt:variant>
        <vt:i4>0</vt:i4>
      </vt:variant>
      <vt:variant>
        <vt:i4>5</vt:i4>
      </vt:variant>
      <vt:variant>
        <vt:lpwstr/>
      </vt:variant>
      <vt:variant>
        <vt:lpwstr>_Toc95897473</vt:lpwstr>
      </vt:variant>
      <vt:variant>
        <vt:i4>1900593</vt:i4>
      </vt:variant>
      <vt:variant>
        <vt:i4>59</vt:i4>
      </vt:variant>
      <vt:variant>
        <vt:i4>0</vt:i4>
      </vt:variant>
      <vt:variant>
        <vt:i4>5</vt:i4>
      </vt:variant>
      <vt:variant>
        <vt:lpwstr/>
      </vt:variant>
      <vt:variant>
        <vt:lpwstr>_Toc95897472</vt:lpwstr>
      </vt:variant>
      <vt:variant>
        <vt:i4>1966129</vt:i4>
      </vt:variant>
      <vt:variant>
        <vt:i4>53</vt:i4>
      </vt:variant>
      <vt:variant>
        <vt:i4>0</vt:i4>
      </vt:variant>
      <vt:variant>
        <vt:i4>5</vt:i4>
      </vt:variant>
      <vt:variant>
        <vt:lpwstr/>
      </vt:variant>
      <vt:variant>
        <vt:lpwstr>_Toc95897471</vt:lpwstr>
      </vt:variant>
      <vt:variant>
        <vt:i4>2031665</vt:i4>
      </vt:variant>
      <vt:variant>
        <vt:i4>47</vt:i4>
      </vt:variant>
      <vt:variant>
        <vt:i4>0</vt:i4>
      </vt:variant>
      <vt:variant>
        <vt:i4>5</vt:i4>
      </vt:variant>
      <vt:variant>
        <vt:lpwstr/>
      </vt:variant>
      <vt:variant>
        <vt:lpwstr>_Toc95897470</vt:lpwstr>
      </vt:variant>
      <vt:variant>
        <vt:i4>1441840</vt:i4>
      </vt:variant>
      <vt:variant>
        <vt:i4>41</vt:i4>
      </vt:variant>
      <vt:variant>
        <vt:i4>0</vt:i4>
      </vt:variant>
      <vt:variant>
        <vt:i4>5</vt:i4>
      </vt:variant>
      <vt:variant>
        <vt:lpwstr/>
      </vt:variant>
      <vt:variant>
        <vt:lpwstr>_Toc95897469</vt:lpwstr>
      </vt:variant>
      <vt:variant>
        <vt:i4>1507376</vt:i4>
      </vt:variant>
      <vt:variant>
        <vt:i4>35</vt:i4>
      </vt:variant>
      <vt:variant>
        <vt:i4>0</vt:i4>
      </vt:variant>
      <vt:variant>
        <vt:i4>5</vt:i4>
      </vt:variant>
      <vt:variant>
        <vt:lpwstr/>
      </vt:variant>
      <vt:variant>
        <vt:lpwstr>_Toc95897468</vt:lpwstr>
      </vt:variant>
      <vt:variant>
        <vt:i4>1572912</vt:i4>
      </vt:variant>
      <vt:variant>
        <vt:i4>29</vt:i4>
      </vt:variant>
      <vt:variant>
        <vt:i4>0</vt:i4>
      </vt:variant>
      <vt:variant>
        <vt:i4>5</vt:i4>
      </vt:variant>
      <vt:variant>
        <vt:lpwstr/>
      </vt:variant>
      <vt:variant>
        <vt:lpwstr>_Toc95897467</vt:lpwstr>
      </vt:variant>
      <vt:variant>
        <vt:i4>1638448</vt:i4>
      </vt:variant>
      <vt:variant>
        <vt:i4>23</vt:i4>
      </vt:variant>
      <vt:variant>
        <vt:i4>0</vt:i4>
      </vt:variant>
      <vt:variant>
        <vt:i4>5</vt:i4>
      </vt:variant>
      <vt:variant>
        <vt:lpwstr/>
      </vt:variant>
      <vt:variant>
        <vt:lpwstr>_Toc95897466</vt:lpwstr>
      </vt:variant>
      <vt:variant>
        <vt:i4>1703984</vt:i4>
      </vt:variant>
      <vt:variant>
        <vt:i4>17</vt:i4>
      </vt:variant>
      <vt:variant>
        <vt:i4>0</vt:i4>
      </vt:variant>
      <vt:variant>
        <vt:i4>5</vt:i4>
      </vt:variant>
      <vt:variant>
        <vt:lpwstr/>
      </vt:variant>
      <vt:variant>
        <vt:lpwstr>_Toc95897465</vt:lpwstr>
      </vt:variant>
      <vt:variant>
        <vt:i4>1769520</vt:i4>
      </vt:variant>
      <vt:variant>
        <vt:i4>11</vt:i4>
      </vt:variant>
      <vt:variant>
        <vt:i4>0</vt:i4>
      </vt:variant>
      <vt:variant>
        <vt:i4>5</vt:i4>
      </vt:variant>
      <vt:variant>
        <vt:lpwstr/>
      </vt:variant>
      <vt:variant>
        <vt:lpwstr>_Toc95897464</vt:lpwstr>
      </vt:variant>
      <vt:variant>
        <vt:i4>1835056</vt:i4>
      </vt:variant>
      <vt:variant>
        <vt:i4>5</vt:i4>
      </vt:variant>
      <vt:variant>
        <vt:i4>0</vt:i4>
      </vt:variant>
      <vt:variant>
        <vt:i4>5</vt:i4>
      </vt:variant>
      <vt:variant>
        <vt:lpwstr/>
      </vt:variant>
      <vt:variant>
        <vt:lpwstr>_Toc95897463</vt:lpwstr>
      </vt:variant>
      <vt:variant>
        <vt:i4>7405679</vt:i4>
      </vt:variant>
      <vt:variant>
        <vt:i4>0</vt:i4>
      </vt:variant>
      <vt:variant>
        <vt:i4>0</vt:i4>
      </vt:variant>
      <vt:variant>
        <vt:i4>5</vt:i4>
      </vt:variant>
      <vt:variant>
        <vt:lpwstr>https://support.microsoft.com/en-us/windows/chapter-7-customizing-narrator-ce950246-c915-0d44-9be6-fb474387a285</vt:lpwstr>
      </vt:variant>
      <vt:variant>
        <vt:lpwstr/>
      </vt:variant>
      <vt:variant>
        <vt:i4>6160509</vt:i4>
      </vt:variant>
      <vt:variant>
        <vt:i4>3</vt:i4>
      </vt:variant>
      <vt:variant>
        <vt:i4>0</vt:i4>
      </vt:variant>
      <vt:variant>
        <vt:i4>5</vt:i4>
      </vt:variant>
      <vt:variant>
        <vt:lpwstr>mailto:jordan.fong@ds.org.au</vt:lpwstr>
      </vt:variant>
      <vt:variant>
        <vt:lpwstr/>
      </vt:variant>
      <vt:variant>
        <vt:i4>6160509</vt:i4>
      </vt:variant>
      <vt:variant>
        <vt:i4>0</vt:i4>
      </vt:variant>
      <vt:variant>
        <vt:i4>0</vt:i4>
      </vt:variant>
      <vt:variant>
        <vt:i4>5</vt:i4>
      </vt:variant>
      <vt:variant>
        <vt:lpwstr>mailto:jordan.fong@ds.org.au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cfre@ds.org.au</dc:creator>
  <cp:keywords/>
  <dc:description/>
  <cp:lastModifiedBy>Hemei Fong</cp:lastModifiedBy>
  <cp:revision>873</cp:revision>
  <dcterms:created xsi:type="dcterms:W3CDTF">2021-06-27T04:58:00Z</dcterms:created>
  <dcterms:modified xsi:type="dcterms:W3CDTF">2022-04-13T02:56:00Z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0x010100CAD0718CE4942742925F2A0762C63548</vt:lpwstr>
  </property>
</Properties>
</file>